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6"/>
        <w:rPr>
          <w:rFonts w:ascii="宋体" w:hAnsi="宋体"/>
          <w:b/>
          <w:bCs/>
          <w:sz w:val="21"/>
          <w:szCs w:val="24"/>
        </w:rPr>
      </w:pPr>
      <w:r>
        <w:rPr>
          <w:rFonts w:hint="eastAsia" w:ascii="宋体" w:hAnsi="宋体"/>
          <w:b/>
          <w:bCs/>
          <w:sz w:val="21"/>
          <w:szCs w:val="24"/>
        </w:rPr>
        <w:t>说明：</w:t>
      </w:r>
    </w:p>
    <w:p>
      <w:pPr>
        <w:pStyle w:val="6"/>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需求一览表中标注★号的部分为实质性要求和条件。</w:t>
      </w:r>
    </w:p>
    <w:p>
      <w:pPr>
        <w:pStyle w:val="6"/>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lang w:val="en-US" w:eastAsia="zh-CN"/>
        </w:rPr>
        <w:t>壹拾玖万玖仟陆佰陆拾贰</w:t>
      </w:r>
      <w:r>
        <w:rPr>
          <w:rFonts w:hint="eastAsia" w:ascii="宋体" w:hAnsi="宋体"/>
          <w:b/>
          <w:bCs/>
          <w:sz w:val="21"/>
          <w:szCs w:val="24"/>
        </w:rPr>
        <w:t>元整(¥</w:t>
      </w:r>
      <w:r>
        <w:rPr>
          <w:rFonts w:hint="eastAsia" w:ascii="宋体" w:hAnsi="宋体"/>
          <w:b/>
          <w:bCs/>
          <w:sz w:val="21"/>
          <w:szCs w:val="24"/>
          <w:lang w:val="en-US" w:eastAsia="zh-CN"/>
        </w:rPr>
        <w:t>199662元</w:t>
      </w:r>
      <w:r>
        <w:rPr>
          <w:rFonts w:hint="eastAsia" w:ascii="宋体" w:hAnsi="宋体"/>
          <w:b/>
          <w:bCs/>
          <w:sz w:val="21"/>
          <w:szCs w:val="24"/>
        </w:rPr>
        <w:t>)。</w:t>
      </w:r>
    </w:p>
    <w:p>
      <w:pPr>
        <w:rPr>
          <w:rFonts w:hint="eastAsia" w:ascii="宋体" w:hAnsi="宋体" w:eastAsia="宋体" w:cs="Times New Roman"/>
          <w:b/>
          <w:bCs/>
          <w:kern w:val="0"/>
          <w:sz w:val="21"/>
          <w:szCs w:val="24"/>
          <w:lang w:val="en-US" w:eastAsia="zh-CN" w:bidi="ar-SA"/>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一、项目名称：</w:t>
      </w:r>
      <w:r>
        <w:rPr>
          <w:rFonts w:hint="eastAsia" w:ascii="宋体" w:hAnsi="宋体" w:cs="Times New Roman"/>
          <w:b/>
          <w:bCs/>
          <w:kern w:val="0"/>
          <w:sz w:val="21"/>
          <w:szCs w:val="24"/>
          <w:lang w:val="en-US" w:eastAsia="zh-CN" w:bidi="ar-SA"/>
        </w:rPr>
        <w:t>南宁广播电视台</w:t>
      </w:r>
      <w:r>
        <w:rPr>
          <w:rFonts w:hint="eastAsia" w:ascii="宋体" w:hAnsi="宋体" w:eastAsia="宋体" w:cs="Times New Roman"/>
          <w:b/>
          <w:bCs/>
          <w:kern w:val="0"/>
          <w:sz w:val="21"/>
          <w:szCs w:val="24"/>
          <w:lang w:val="en-US" w:eastAsia="zh-CN" w:bidi="ar-SA"/>
        </w:rPr>
        <w:t>音乐声音类制作</w:t>
      </w:r>
      <w:r>
        <w:rPr>
          <w:rFonts w:hint="eastAsia" w:ascii="宋体" w:hAnsi="宋体" w:cs="Times New Roman"/>
          <w:b/>
          <w:bCs/>
          <w:kern w:val="0"/>
          <w:sz w:val="21"/>
          <w:szCs w:val="24"/>
          <w:lang w:val="en-US" w:eastAsia="zh-CN" w:bidi="ar-SA"/>
        </w:rPr>
        <w:t>服务</w:t>
      </w:r>
      <w:bookmarkStart w:id="6" w:name="_GoBack"/>
      <w:bookmarkEnd w:id="6"/>
    </w:p>
    <w:tbl>
      <w:tblPr>
        <w:tblStyle w:val="9"/>
        <w:tblpPr w:leftFromText="180" w:rightFromText="180" w:vertAnchor="text" w:horzAnchor="page" w:tblpX="1389" w:tblpY="335"/>
        <w:tblOverlap w:val="never"/>
        <w:tblW w:w="84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960"/>
        <w:gridCol w:w="975"/>
        <w:gridCol w:w="1125"/>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96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97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12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总价（元）</w:t>
            </w:r>
          </w:p>
        </w:tc>
        <w:tc>
          <w:tcPr>
            <w:tcW w:w="323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lang w:val="en-US" w:eastAsia="zh-CN"/>
              </w:rPr>
              <w:t>服务</w:t>
            </w:r>
            <w:r>
              <w:rPr>
                <w:rFonts w:hint="eastAsia"/>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2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音乐声音类制作</w:t>
            </w:r>
          </w:p>
        </w:tc>
        <w:tc>
          <w:tcPr>
            <w:tcW w:w="96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105</w:t>
            </w:r>
          </w:p>
        </w:tc>
        <w:tc>
          <w:tcPr>
            <w:tcW w:w="97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112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199662</w:t>
            </w:r>
          </w:p>
        </w:tc>
        <w:tc>
          <w:tcPr>
            <w:tcW w:w="3239" w:type="dxa"/>
            <w:vAlign w:val="center"/>
          </w:tcPr>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b/>
                <w:bCs/>
                <w:kern w:val="2"/>
                <w:sz w:val="21"/>
                <w:szCs w:val="24"/>
                <w:lang w:val="en-US" w:eastAsia="zh-CN" w:bidi="ar-SA"/>
              </w:rPr>
            </w:pPr>
            <w:r>
              <w:rPr>
                <w:rFonts w:hint="eastAsia" w:ascii="宋体" w:hAnsi="宋体" w:cs="Times New Roman"/>
                <w:b/>
                <w:bCs/>
                <w:kern w:val="2"/>
                <w:sz w:val="21"/>
                <w:szCs w:val="24"/>
                <w:lang w:val="en-US" w:eastAsia="zh-CN" w:bidi="ar-SA"/>
              </w:rPr>
              <w:t>一、</w:t>
            </w:r>
            <w:r>
              <w:rPr>
                <w:rFonts w:hint="eastAsia" w:ascii="宋体" w:hAnsi="宋体" w:eastAsia="宋体" w:cs="Times New Roman"/>
                <w:b/>
                <w:bCs/>
                <w:kern w:val="2"/>
                <w:sz w:val="21"/>
                <w:szCs w:val="24"/>
                <w:lang w:val="en-US" w:eastAsia="zh-CN" w:bidi="ar-SA"/>
              </w:rPr>
              <w:t>内容及要求</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台歌”制作为一首，时长为3～5分钟。需录制合唱版和独唱版两个版本。创制作团队需包括在广西较有影响力的作词家、作曲家；弦乐队录制需保证采用国家级乐团，如“国际首席爱乐乐团”“亚洲爱乐乐团”“中国爱乐乐团”等同档次及以上的乐团；10人以上的合唱团，以及齐全的编曲、录音、缩混、后期等创制作系统服务。</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2、“专属音乐”共需制作3条，每条长度1分30秒至2分钟。需根据南宁广播电视台2022年平台包装项目具体要求创作，符合南宁广播电视台传播特征。</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3、口号台声识别类包括总台宣口号4条、四个频道口号16条、四个频率口号11条、电台整点报时24条；详见声音类制作服务内容。</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4、宣传片声音包装包括台宣传片3条、四个频道宣传片4条、四个频率宣传片4条、两中心宣传片2条、24节气主题宣传片24条。详见声音类制作服务内容。</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5、配音4条。需聘请声音品质好、辨识度高、在全国层面具备声音案例的配音人员。</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6、为控制成品质量，需先录制作品小样供给采购方审核，经采购方审核通过后方可制成作品成品；</w:t>
            </w:r>
          </w:p>
          <w:p>
            <w:pPr>
              <w:pStyle w:val="2"/>
              <w:keepNext w:val="0"/>
              <w:keepLines w:val="0"/>
              <w:pageBreakBefore w:val="0"/>
              <w:widowControl w:val="0"/>
              <w:numPr>
                <w:ilvl w:val="0"/>
                <w:numId w:val="1"/>
              </w:numPr>
              <w:kinsoku/>
              <w:wordWrap/>
              <w:overflowPunct/>
              <w:topLinePunct w:val="0"/>
              <w:bidi w:val="0"/>
              <w:snapToGrid/>
              <w:spacing w:line="240" w:lineRule="auto"/>
              <w:jc w:val="both"/>
              <w:textAlignment w:val="auto"/>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设备标准</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为使所有作品达到广西顶级、国内一流的水平，供应商必须使用具有专业级别的录音棚和录制器材，安排高水平的音乐制作人负责配器、前期制作、录音及后期合成，以保证作品的艺术品质。编曲、录音、后期合成制作器材和系统，包括并不限于以下：</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1.编曲制作器材：宿主：Steinberg Cubase Pro12；硬件音源：Roland -Integra-7  </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2.录音器材及系统</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①数模转换器（声卡）：</w:t>
            </w:r>
            <w:r>
              <w:rPr>
                <w:rFonts w:hint="default" w:ascii="宋体" w:hAnsi="宋体" w:eastAsia="宋体" w:cs="Times New Roman"/>
                <w:kern w:val="2"/>
                <w:sz w:val="21"/>
                <w:szCs w:val="24"/>
                <w:lang w:val="en-US" w:eastAsia="zh-CN" w:bidi="ar-SA"/>
              </w:rPr>
              <w:t>Crane Song HEDD 192</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Apogee Symphony I/O 2x6</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Lynx Aurora 8</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 xml:space="preserve"> </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default" w:ascii="宋体" w:hAnsi="宋体" w:eastAsia="宋体" w:cs="Times New Roman"/>
                <w:kern w:val="2"/>
                <w:sz w:val="21"/>
                <w:szCs w:val="24"/>
                <w:lang w:val="en-US" w:eastAsia="zh-CN" w:bidi="ar-SA"/>
              </w:rPr>
              <w:t xml:space="preserve">Prism Sound Lyra 2 </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②话筒：</w:t>
            </w:r>
            <w:r>
              <w:rPr>
                <w:rFonts w:hint="default" w:ascii="宋体" w:hAnsi="宋体" w:eastAsia="宋体" w:cs="Times New Roman"/>
                <w:kern w:val="2"/>
                <w:sz w:val="21"/>
                <w:szCs w:val="24"/>
                <w:lang w:val="en-US" w:eastAsia="zh-CN" w:bidi="ar-SA"/>
              </w:rPr>
              <w:t>Neumann- U87</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 xml:space="preserve">M-audio sputnik </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③话筒放大器：</w:t>
            </w:r>
            <w:r>
              <w:rPr>
                <w:rFonts w:hint="default" w:ascii="宋体" w:hAnsi="宋体" w:eastAsia="宋体" w:cs="Times New Roman"/>
                <w:kern w:val="2"/>
                <w:sz w:val="21"/>
                <w:szCs w:val="24"/>
                <w:lang w:val="en-US" w:eastAsia="zh-CN" w:bidi="ar-SA"/>
              </w:rPr>
              <w:t>Millennia HV-3D-8</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Universal Audio LA-610</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④话筒线材：</w:t>
            </w:r>
            <w:r>
              <w:rPr>
                <w:rFonts w:hint="default" w:ascii="宋体" w:hAnsi="宋体" w:eastAsia="宋体" w:cs="Times New Roman"/>
                <w:kern w:val="2"/>
                <w:sz w:val="21"/>
                <w:szCs w:val="24"/>
                <w:lang w:val="en-US" w:eastAsia="zh-CN" w:bidi="ar-SA"/>
              </w:rPr>
              <w:t xml:space="preserve">SOMMER EXCELSIOR Blue Water </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3.后期混缩设备及系统：</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①监听音箱：中场：ADAM S3-H三分频；近场：FOCAL CMS 65</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②混缩系统： </w:t>
            </w:r>
            <w:r>
              <w:rPr>
                <w:rFonts w:hint="default" w:ascii="宋体" w:hAnsi="宋体" w:eastAsia="宋体" w:cs="Times New Roman"/>
                <w:kern w:val="2"/>
                <w:sz w:val="21"/>
                <w:szCs w:val="24"/>
                <w:lang w:val="en-US" w:eastAsia="zh-CN" w:bidi="ar-SA"/>
              </w:rPr>
              <w:t>Pro Tools HD10</w:t>
            </w:r>
          </w:p>
          <w:p>
            <w:pPr>
              <w:keepNext w:val="0"/>
              <w:keepLines w:val="0"/>
              <w:pageBreakBefore w:val="0"/>
              <w:widowControl w:val="0"/>
              <w:kinsoku/>
              <w:wordWrap/>
              <w:overflowPunct/>
              <w:topLinePunct w:val="0"/>
              <w:bidi w:val="0"/>
              <w:snapToGrid/>
              <w:spacing w:line="240" w:lineRule="auto"/>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③硬件处理器：</w:t>
            </w:r>
            <w:r>
              <w:rPr>
                <w:rFonts w:hint="default" w:ascii="宋体" w:hAnsi="宋体" w:eastAsia="宋体" w:cs="Times New Roman"/>
                <w:kern w:val="2"/>
                <w:sz w:val="21"/>
                <w:szCs w:val="24"/>
                <w:lang w:val="en-US" w:eastAsia="zh-CN" w:bidi="ar-SA"/>
              </w:rPr>
              <w:t>api 527A</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Crane Song FALCON</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Warm Audio WA-2A</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Lexicon 300</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④硬件母带处理器：</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Great River EQ-2NV 母带均衡器</w:t>
            </w:r>
          </w:p>
          <w:p>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Bettermaker Mastering Limiter 母带限制器</w:t>
            </w:r>
          </w:p>
          <w:p>
            <w:pPr>
              <w:pStyle w:val="2"/>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宋体" w:eastAsia="宋体" w:cs="Times New Roman"/>
                <w:kern w:val="2"/>
                <w:sz w:val="21"/>
                <w:szCs w:val="24"/>
                <w:lang w:val="en-US" w:eastAsia="zh-CN" w:bidi="ar-SA"/>
              </w:rPr>
            </w:pPr>
          </w:p>
          <w:p>
            <w:pPr>
              <w:pStyle w:val="2"/>
              <w:keepNext w:val="0"/>
              <w:keepLines w:val="0"/>
              <w:pageBreakBefore w:val="0"/>
              <w:widowControl w:val="0"/>
              <w:numPr>
                <w:ilvl w:val="0"/>
                <w:numId w:val="1"/>
              </w:numPr>
              <w:kinsoku/>
              <w:wordWrap/>
              <w:overflowPunct/>
              <w:topLinePunct w:val="0"/>
              <w:bidi w:val="0"/>
              <w:snapToGrid/>
              <w:spacing w:line="240" w:lineRule="auto"/>
              <w:jc w:val="both"/>
              <w:textAlignment w:val="auto"/>
              <w:rPr>
                <w:rFonts w:hint="eastAsia"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人员资质</w:t>
            </w:r>
          </w:p>
          <w:p>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为确保水准，项目组负责人需具备相关专业正高级职称；项目组成员包括音乐制作人、编曲、乐手、乐队指挥、歌手、配音、录音师、混音师等专业人员。</w:t>
            </w:r>
          </w:p>
          <w:p>
            <w:pPr>
              <w:pStyle w:val="2"/>
              <w:rPr>
                <w:rFonts w:hint="default"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ascii="宋体" w:hAnsi="宋体" w:cs="宋体"/>
                <w:color w:val="000000"/>
                <w:szCs w:val="21"/>
                <w:lang w:eastAsia="zh-CN"/>
              </w:rPr>
              <w:t>一、合同签订期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lang w:val="en-US" w:eastAsia="zh-CN"/>
              </w:rPr>
              <w:t xml:space="preserve"> 10个日历日  </w:t>
            </w:r>
            <w:r>
              <w:rPr>
                <w:rFonts w:hint="eastAsia" w:ascii="宋体" w:hAnsi="宋体" w:cs="宋体"/>
                <w:szCs w:val="21"/>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宋体" w:hAnsi="宋体" w:cs="宋体"/>
                <w:szCs w:val="21"/>
                <w:lang w:eastAsia="zh-CN"/>
              </w:rPr>
              <w:t>合同签订后</w:t>
            </w:r>
            <w:r>
              <w:rPr>
                <w:rFonts w:hint="eastAsia" w:ascii="宋体" w:hAnsi="宋体" w:cs="宋体"/>
                <w:szCs w:val="21"/>
                <w:u w:val="single"/>
                <w:lang w:val="en-US" w:eastAsia="zh-CN"/>
              </w:rPr>
              <w:t xml:space="preserve"> 60个日历日</w:t>
            </w:r>
            <w:r>
              <w:rPr>
                <w:rFonts w:hint="eastAsia" w:ascii="宋体" w:hAnsi="宋体" w:cs="宋体"/>
                <w:szCs w:val="21"/>
                <w:u w:val="single"/>
                <w:lang w:eastAsia="zh-CN"/>
              </w:rPr>
              <w:t>内</w:t>
            </w:r>
            <w:r>
              <w:rPr>
                <w:rFonts w:hint="eastAsia" w:ascii="宋体" w:hAnsi="宋体" w:cs="宋体"/>
                <w:szCs w:val="21"/>
                <w:lang w:eastAsia="zh-CN"/>
              </w:rPr>
              <w:t>交货；</w:t>
            </w:r>
          </w:p>
          <w:p>
            <w:pPr>
              <w:adjustRightInd w:val="0"/>
              <w:snapToGrid w:val="0"/>
              <w:spacing w:line="360" w:lineRule="exact"/>
              <w:jc w:val="lef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ascii="宋体" w:hAnsi="宋体" w:cs="宋体"/>
                <w:szCs w:val="21"/>
                <w:lang w:val="en-US" w:eastAsia="zh-CN"/>
              </w:rPr>
            </w:pPr>
            <w:r>
              <w:rPr>
                <w:rFonts w:hint="eastAsia" w:ascii="宋体" w:hAnsi="宋体" w:cs="宋体"/>
                <w:szCs w:val="21"/>
                <w:lang w:val="en-US" w:eastAsia="zh-CN"/>
              </w:rPr>
              <w:t xml:space="preserve">质量保证期 </w:t>
            </w:r>
            <w:r>
              <w:rPr>
                <w:rFonts w:hint="eastAsia" w:ascii="宋体" w:hAnsi="宋体" w:cs="宋体"/>
                <w:szCs w:val="21"/>
                <w:u w:val="single"/>
                <w:lang w:val="en-US" w:eastAsia="zh-CN"/>
              </w:rPr>
              <w:t xml:space="preserve">1 </w:t>
            </w:r>
            <w:r>
              <w:rPr>
                <w:rFonts w:hint="eastAsia" w:ascii="宋体" w:hAnsi="宋体" w:cs="宋体"/>
                <w:szCs w:val="21"/>
                <w:lang w:val="en-US" w:eastAsia="zh-CN"/>
              </w:rPr>
              <w:t>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lang w:val="en-US" w:eastAsia="zh-CN"/>
              </w:rPr>
              <w:t>四</w:t>
            </w:r>
            <w:r>
              <w:rPr>
                <w:rFonts w:hint="eastAsia" w:ascii="宋体" w:hAnsi="宋体"/>
                <w:lang w:eastAsia="zh-CN"/>
              </w:rPr>
              <w:t>、付款方式</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lang w:val="en-US" w:eastAsia="zh-CN"/>
              </w:rPr>
            </w:pPr>
            <w:r>
              <w:rPr>
                <w:rFonts w:hint="eastAsia" w:ascii="宋体" w:hAnsi="宋体"/>
                <w:lang w:val="en-US" w:eastAsia="zh-CN"/>
              </w:rPr>
              <w:t>本项目无预付款，供应商所提交的服务经采购人验收合格后，按项目进度分次付款，具体付款比例如下：</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r>
              <w:rPr>
                <w:rFonts w:hint="eastAsia" w:ascii="宋体" w:hAnsi="宋体"/>
                <w:lang w:val="en-US" w:eastAsia="zh-CN"/>
              </w:rPr>
              <w:t>1、自签订合同之日起，中标供应商提供合同总金额40%的增值税专用发票给采购人，采购人在收到发票后十个工作日内支付40%的合同款；2、完成整体项目工作量80%进度，经采购人确定后，中标供应商提供合同总金额40%增值税专用发票给采购人，采购人在收到发票后十个工作日内支付40%的合同款；3、项目完结并经采购人整体验收合格后，中标供应商提供剩余20%合同款的增值税专用发票给采购人，采购人在收到发票后十个工作日内支付合同20%尾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cs="Times New Roman" w:asciiTheme="minorEastAsia" w:hAnsiTheme="minorEastAsia" w:eastAsiaTheme="minorEastAsia"/>
                <w:bCs/>
                <w:kern w:val="2"/>
                <w:sz w:val="21"/>
                <w:szCs w:val="20"/>
                <w:lang w:val="en-US" w:eastAsia="zh-CN" w:bidi="ar-SA"/>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rPr>
            </w:pPr>
            <w:r>
              <w:rPr>
                <w:rFonts w:hint="eastAsia" w:ascii="宋体" w:hAnsi="宋体"/>
              </w:rPr>
              <w:t>1、中标供应商所提供的服务能够体现中标供应商的专业技能水平和能力，并且能够按照采购人制定的工作内容和工作计划完成工作。</w:t>
            </w:r>
          </w:p>
          <w:p>
            <w:pPr>
              <w:adjustRightInd w:val="0"/>
              <w:snapToGrid w:val="0"/>
              <w:spacing w:line="360" w:lineRule="exact"/>
              <w:ind w:firstLine="210" w:firstLineChars="100"/>
              <w:jc w:val="left"/>
              <w:rPr>
                <w:rFonts w:hint="eastAsia" w:ascii="宋体" w:hAnsi="宋体"/>
              </w:rPr>
            </w:pPr>
            <w:r>
              <w:rPr>
                <w:rFonts w:hint="eastAsia" w:ascii="宋体" w:hAnsi="宋体"/>
              </w:rPr>
              <w:t>2、中标供应商在服务期间内，须尽可能及时将其行踪变化通知采购人，其行程安排须服从采购人制作计划要求，中标供应商不得因任何理由影响整体项目进度。</w:t>
            </w:r>
          </w:p>
          <w:p>
            <w:pPr>
              <w:adjustRightInd w:val="0"/>
              <w:snapToGrid w:val="0"/>
              <w:spacing w:line="360" w:lineRule="exact"/>
              <w:ind w:firstLine="210" w:firstLineChars="100"/>
              <w:jc w:val="left"/>
              <w:rPr>
                <w:rFonts w:hint="eastAsia" w:ascii="宋体" w:hAnsi="宋体"/>
              </w:rPr>
            </w:pPr>
            <w:r>
              <w:rPr>
                <w:rFonts w:hint="eastAsia" w:ascii="宋体" w:hAnsi="宋体"/>
              </w:rPr>
              <w:t>3、未经采购人事先书面同意，不得向媒体、公共人员或其它任何人提供或透露。</w:t>
            </w:r>
          </w:p>
          <w:p>
            <w:pPr>
              <w:adjustRightInd w:val="0"/>
              <w:snapToGrid w:val="0"/>
              <w:spacing w:line="360" w:lineRule="exact"/>
              <w:ind w:firstLine="210" w:firstLineChars="100"/>
              <w:jc w:val="left"/>
              <w:rPr>
                <w:rFonts w:hint="eastAsia" w:ascii="宋体" w:hAnsi="宋体"/>
              </w:rPr>
            </w:pPr>
            <w:r>
              <w:rPr>
                <w:rFonts w:hint="eastAsia" w:ascii="宋体" w:hAnsi="宋体"/>
              </w:rPr>
              <w:t>4、如中标供应商未按照以上要求执行，合作期间出现违约情况，由中标供应商承担所有产生的连带责任和费用，采购人保留进一步追究责任的权利。</w:t>
            </w:r>
          </w:p>
          <w:p>
            <w:pPr>
              <w:pStyle w:val="2"/>
              <w:ind w:firstLine="210" w:firstLineChars="10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w:t>
            </w:r>
            <w:r>
              <w:rPr>
                <w:rFonts w:hint="default" w:ascii="宋体" w:hAnsi="宋体" w:eastAsia="宋体" w:cs="Times New Roman"/>
                <w:kern w:val="2"/>
                <w:sz w:val="21"/>
                <w:szCs w:val="24"/>
                <w:lang w:val="en-US" w:eastAsia="zh-CN" w:bidi="ar-SA"/>
              </w:rPr>
              <w:t>作品成品的版权归采购</w:t>
            </w:r>
            <w:r>
              <w:rPr>
                <w:rFonts w:hint="eastAsia" w:ascii="宋体" w:hAnsi="宋体" w:eastAsia="宋体" w:cs="Times New Roman"/>
                <w:kern w:val="2"/>
                <w:sz w:val="21"/>
                <w:szCs w:val="24"/>
                <w:lang w:val="en-US" w:eastAsia="zh-CN" w:bidi="ar-SA"/>
              </w:rPr>
              <w:t>人</w:t>
            </w:r>
            <w:r>
              <w:rPr>
                <w:rFonts w:hint="default" w:ascii="宋体" w:hAnsi="宋体" w:eastAsia="宋体" w:cs="Times New Roman"/>
                <w:kern w:val="2"/>
                <w:sz w:val="21"/>
                <w:szCs w:val="24"/>
                <w:lang w:val="en-US" w:eastAsia="zh-CN" w:bidi="ar-SA"/>
              </w:rPr>
              <w:t>所有。</w:t>
            </w:r>
          </w:p>
          <w:p>
            <w:pPr>
              <w:adjustRightInd w:val="0"/>
              <w:snapToGrid w:val="0"/>
              <w:spacing w:line="360" w:lineRule="exact"/>
              <w:ind w:firstLine="210" w:firstLineChars="100"/>
              <w:jc w:val="left"/>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6</w:t>
            </w:r>
            <w:r>
              <w:rPr>
                <w:rFonts w:hint="eastAsia" w:ascii="宋体" w:hAnsi="宋体" w:eastAsia="宋体" w:cs="Times New Roman"/>
                <w:kern w:val="2"/>
                <w:sz w:val="21"/>
                <w:szCs w:val="24"/>
                <w:lang w:val="en-US" w:eastAsia="zh-CN" w:bidi="ar-SA"/>
              </w:rPr>
              <w:t>、报价必须含以下部分，包括：</w:t>
            </w:r>
          </w:p>
          <w:p>
            <w:pPr>
              <w:adjustRightInd w:val="0"/>
              <w:snapToGrid w:val="0"/>
              <w:spacing w:line="36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（1）服务内容所产生的费用；</w:t>
            </w:r>
          </w:p>
          <w:p>
            <w:pPr>
              <w:adjustRightInd w:val="0"/>
              <w:snapToGrid w:val="0"/>
              <w:spacing w:line="360" w:lineRule="exact"/>
              <w:jc w:val="left"/>
              <w:rPr>
                <w:rFonts w:hint="default" w:ascii="宋体" w:hAnsi="宋体"/>
                <w:lang w:val="en-US" w:eastAsia="zh-CN"/>
              </w:rPr>
            </w:pPr>
            <w:r>
              <w:rPr>
                <w:rFonts w:hint="eastAsia" w:ascii="宋体" w:hAnsi="宋体" w:eastAsia="宋体" w:cs="Times New Roman"/>
                <w:kern w:val="2"/>
                <w:sz w:val="21"/>
                <w:szCs w:val="24"/>
                <w:lang w:val="en-US" w:eastAsia="zh-CN" w:bidi="ar-SA"/>
              </w:rPr>
              <w:t>（2）此项目的税金等所有费用。</w:t>
            </w:r>
          </w:p>
        </w:tc>
      </w:tr>
    </w:tbl>
    <w:p>
      <w:pPr>
        <w:pStyle w:val="2"/>
        <w:jc w:val="both"/>
        <w:rPr>
          <w:b/>
          <w:sz w:val="36"/>
        </w:rPr>
      </w:pPr>
    </w:p>
    <w:p>
      <w:pPr>
        <w:pStyle w:val="2"/>
        <w:numPr>
          <w:ilvl w:val="0"/>
          <w:numId w:val="0"/>
        </w:numPr>
        <w:jc w:val="both"/>
        <w:rPr>
          <w:rFonts w:hint="default"/>
          <w:b/>
          <w:sz w:val="28"/>
          <w:szCs w:val="28"/>
          <w:lang w:val="en-US" w:eastAsia="zh-CN"/>
        </w:rPr>
      </w:pPr>
    </w:p>
    <w:p>
      <w:pPr>
        <w:pStyle w:val="2"/>
        <w:jc w:val="center"/>
        <w:rPr>
          <w:b/>
          <w:sz w:val="36"/>
        </w:rPr>
      </w:pPr>
      <w:r>
        <w:br w:type="page"/>
      </w:r>
      <w:r>
        <w:rPr>
          <w:rFonts w:hint="eastAsia"/>
          <w:b/>
          <w:sz w:val="36"/>
        </w:rPr>
        <w:t>第二章</w:t>
      </w:r>
      <w:r>
        <w:rPr>
          <w:b/>
          <w:sz w:val="36"/>
        </w:rPr>
        <w:t xml:space="preserve"> </w:t>
      </w:r>
      <w:r>
        <w:rPr>
          <w:rFonts w:hint="eastAsia"/>
          <w:b/>
          <w:sz w:val="36"/>
        </w:rPr>
        <w:t>评审方法</w:t>
      </w:r>
    </w:p>
    <w:p>
      <w:pPr>
        <w:pStyle w:val="2"/>
        <w:jc w:val="center"/>
        <w:rPr>
          <w:sz w:val="28"/>
        </w:rPr>
      </w:pPr>
    </w:p>
    <w:p>
      <w:pPr>
        <w:pStyle w:val="5"/>
        <w:jc w:val="center"/>
        <w:rPr>
          <w:rFonts w:ascii="Times New Roman" w:hAnsi="Times New Roman"/>
          <w:b/>
          <w:sz w:val="30"/>
          <w:szCs w:val="30"/>
        </w:rPr>
      </w:pPr>
      <w:r>
        <w:rPr>
          <w:rFonts w:hint="eastAsia" w:ascii="Times New Roman" w:hAnsi="Times New Roman"/>
          <w:b/>
          <w:sz w:val="30"/>
          <w:szCs w:val="30"/>
        </w:rPr>
        <w:t>最低评标价法</w:t>
      </w:r>
    </w:p>
    <w:p>
      <w:pPr>
        <w:pStyle w:val="5"/>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5"/>
        <w:tabs>
          <w:tab w:val="left" w:pos="1935"/>
        </w:tabs>
        <w:spacing w:line="400" w:lineRule="exact"/>
        <w:ind w:firstLine="420" w:firstLineChars="200"/>
      </w:pPr>
      <w:r>
        <w:rPr>
          <w:rFonts w:hint="eastAsia"/>
        </w:rPr>
        <w:t>评标价＝投标报价.</w:t>
      </w:r>
    </w:p>
    <w:p>
      <w:pPr>
        <w:pStyle w:val="5"/>
        <w:spacing w:line="440" w:lineRule="exact"/>
        <w:jc w:val="center"/>
        <w:rPr>
          <w:rFonts w:hAnsi="宋体"/>
        </w:rPr>
      </w:pPr>
      <w:r>
        <w:rPr>
          <w:rFonts w:hint="eastAsia"/>
        </w:rPr>
        <w:br w:type="page"/>
      </w: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677"/>
      <w:bookmarkStart w:id="5" w:name="_Toc254970536"/>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技术文件</w:t>
      </w:r>
      <w:r>
        <w:rPr>
          <w:rFonts w:hint="eastAsia" w:asciiTheme="minorEastAsia" w:hAnsiTheme="minorEastAsia" w:eastAsiaTheme="minorEastAsia"/>
          <w:szCs w:val="21"/>
        </w:rPr>
        <w:t>文件组成。</w:t>
      </w:r>
    </w:p>
    <w:p>
      <w:pPr>
        <w:spacing w:line="360" w:lineRule="auto"/>
        <w:ind w:left="141" w:leftChars="67"/>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必须提供</w:t>
      </w:r>
      <w:r>
        <w:rPr>
          <w:rFonts w:hint="eastAsia" w:asciiTheme="minorEastAsia" w:hAnsiTheme="minorEastAsia" w:eastAsiaTheme="minorEastAsia"/>
          <w:b/>
          <w:szCs w:val="21"/>
          <w:lang w:eastAsia="zh-CN"/>
        </w:rPr>
        <w:t>）</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2.报价文件</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必须提供</w:t>
      </w:r>
      <w:r>
        <w:rPr>
          <w:rFonts w:hint="eastAsia" w:asciiTheme="minorEastAsia" w:hAnsiTheme="minorEastAsia" w:eastAsiaTheme="minorEastAsia"/>
          <w:b/>
          <w:szCs w:val="21"/>
          <w:lang w:eastAsia="zh-CN"/>
        </w:rPr>
        <w:t>）</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5"/>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5"/>
        <w:snapToGrid w:val="0"/>
        <w:jc w:val="center"/>
        <w:rPr>
          <w:rFonts w:hAnsi="宋体"/>
          <w:b/>
          <w:sz w:val="32"/>
          <w:szCs w:val="32"/>
        </w:rPr>
      </w:pPr>
    </w:p>
    <w:p>
      <w:pPr>
        <w:pStyle w:val="5"/>
        <w:snapToGrid w:val="0"/>
        <w:jc w:val="center"/>
        <w:rPr>
          <w:rFonts w:hAnsi="宋体"/>
          <w:b/>
          <w:sz w:val="32"/>
          <w:szCs w:val="32"/>
        </w:rPr>
      </w:pPr>
      <w:r>
        <w:rPr>
          <w:rFonts w:hint="eastAsia" w:hAnsi="宋体"/>
          <w:b/>
          <w:sz w:val="32"/>
          <w:szCs w:val="32"/>
        </w:rPr>
        <w:t>投标报价明细表</w:t>
      </w:r>
    </w:p>
    <w:tbl>
      <w:tblPr>
        <w:tblStyle w:val="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5"/>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4"/>
        <w:tabs>
          <w:tab w:val="left" w:pos="939"/>
        </w:tabs>
        <w:snapToGrid w:val="0"/>
        <w:spacing w:line="46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14"/>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6"/>
      </w:pPr>
    </w:p>
    <w:p>
      <w:pPr>
        <w:pStyle w:val="6"/>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5"/>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6EB63"/>
    <w:multiLevelType w:val="singleLevel"/>
    <w:tmpl w:val="6CE6EB6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6036AA"/>
    <w:rsid w:val="04A13261"/>
    <w:rsid w:val="083A08CE"/>
    <w:rsid w:val="0A9A4147"/>
    <w:rsid w:val="0B8D6B41"/>
    <w:rsid w:val="0E616BE1"/>
    <w:rsid w:val="0E827B90"/>
    <w:rsid w:val="0EA81D9B"/>
    <w:rsid w:val="0F72453A"/>
    <w:rsid w:val="104F373B"/>
    <w:rsid w:val="125C1E4F"/>
    <w:rsid w:val="13B51BD1"/>
    <w:rsid w:val="13D5629B"/>
    <w:rsid w:val="15B15FEA"/>
    <w:rsid w:val="15DA075C"/>
    <w:rsid w:val="16105AC5"/>
    <w:rsid w:val="17B9749E"/>
    <w:rsid w:val="18034EA4"/>
    <w:rsid w:val="18275618"/>
    <w:rsid w:val="18824080"/>
    <w:rsid w:val="18B564F4"/>
    <w:rsid w:val="1AFB55B7"/>
    <w:rsid w:val="1B4F1FF5"/>
    <w:rsid w:val="1BFF0441"/>
    <w:rsid w:val="1D3359BC"/>
    <w:rsid w:val="1DD5652B"/>
    <w:rsid w:val="1F435458"/>
    <w:rsid w:val="23B23ED3"/>
    <w:rsid w:val="26E900A4"/>
    <w:rsid w:val="270136C1"/>
    <w:rsid w:val="28605527"/>
    <w:rsid w:val="2A931D11"/>
    <w:rsid w:val="2AE75AF8"/>
    <w:rsid w:val="2B0B39F7"/>
    <w:rsid w:val="2E8A5D4B"/>
    <w:rsid w:val="2F3E2C44"/>
    <w:rsid w:val="35EB4694"/>
    <w:rsid w:val="366742AC"/>
    <w:rsid w:val="38DF4B8E"/>
    <w:rsid w:val="38F66A3C"/>
    <w:rsid w:val="3AC803BC"/>
    <w:rsid w:val="3AE53C90"/>
    <w:rsid w:val="3AF53954"/>
    <w:rsid w:val="3B4621CF"/>
    <w:rsid w:val="3B5E75B8"/>
    <w:rsid w:val="3C2C62DF"/>
    <w:rsid w:val="3E7403F6"/>
    <w:rsid w:val="3EEB3037"/>
    <w:rsid w:val="3F382B65"/>
    <w:rsid w:val="3FDF6C8A"/>
    <w:rsid w:val="40D45096"/>
    <w:rsid w:val="42C15EDC"/>
    <w:rsid w:val="431B1476"/>
    <w:rsid w:val="43490182"/>
    <w:rsid w:val="43635368"/>
    <w:rsid w:val="47603181"/>
    <w:rsid w:val="480C7F65"/>
    <w:rsid w:val="485749E5"/>
    <w:rsid w:val="49022FB2"/>
    <w:rsid w:val="4C9A2613"/>
    <w:rsid w:val="51E43369"/>
    <w:rsid w:val="528C5638"/>
    <w:rsid w:val="53700DA0"/>
    <w:rsid w:val="53B74EE2"/>
    <w:rsid w:val="56EA1CC0"/>
    <w:rsid w:val="579F1434"/>
    <w:rsid w:val="5927625A"/>
    <w:rsid w:val="5B2A4AD3"/>
    <w:rsid w:val="5BEF00D5"/>
    <w:rsid w:val="5C133349"/>
    <w:rsid w:val="5CDF76B0"/>
    <w:rsid w:val="5D845164"/>
    <w:rsid w:val="5FED12A5"/>
    <w:rsid w:val="5FFA2CE6"/>
    <w:rsid w:val="605401A7"/>
    <w:rsid w:val="60A7207F"/>
    <w:rsid w:val="61582B4C"/>
    <w:rsid w:val="624B5632"/>
    <w:rsid w:val="63C0705E"/>
    <w:rsid w:val="64D13849"/>
    <w:rsid w:val="67D27433"/>
    <w:rsid w:val="68BF702A"/>
    <w:rsid w:val="6A9F3DDC"/>
    <w:rsid w:val="6AFC010A"/>
    <w:rsid w:val="6BDF05A4"/>
    <w:rsid w:val="6BF36DDD"/>
    <w:rsid w:val="6D3C0D9E"/>
    <w:rsid w:val="6D616ED0"/>
    <w:rsid w:val="6D735A08"/>
    <w:rsid w:val="6E1B33B9"/>
    <w:rsid w:val="6EE27DA6"/>
    <w:rsid w:val="6F1A21F0"/>
    <w:rsid w:val="6F821F82"/>
    <w:rsid w:val="701C7F94"/>
    <w:rsid w:val="72423427"/>
    <w:rsid w:val="732D7E2B"/>
    <w:rsid w:val="75CD143F"/>
    <w:rsid w:val="76EB3EBD"/>
    <w:rsid w:val="775A4F2B"/>
    <w:rsid w:val="778406F9"/>
    <w:rsid w:val="77EC161B"/>
    <w:rsid w:val="791C4D86"/>
    <w:rsid w:val="7B056B56"/>
    <w:rsid w:val="7CFC6BCD"/>
    <w:rsid w:val="7E6C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4">
    <w:name w:val="List 2"/>
    <w:basedOn w:val="1"/>
    <w:qFormat/>
    <w:uiPriority w:val="0"/>
    <w:pPr>
      <w:ind w:left="100" w:leftChars="200" w:hanging="200" w:hangingChars="200"/>
    </w:pPr>
    <w:rPr>
      <w:sz w:val="28"/>
    </w:rPr>
  </w:style>
  <w:style w:type="paragraph" w:styleId="5">
    <w:name w:val="Plain Text"/>
    <w:basedOn w:val="1"/>
    <w:next w:val="3"/>
    <w:link w:val="13"/>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character" w:styleId="11">
    <w:name w:val="Strong"/>
    <w:qFormat/>
    <w:uiPriority w:val="0"/>
    <w:rPr>
      <w:b/>
      <w:bCs/>
    </w:rPr>
  </w:style>
  <w:style w:type="character" w:customStyle="1" w:styleId="12">
    <w:name w:val="页眉 Char"/>
    <w:basedOn w:val="10"/>
    <w:link w:val="7"/>
    <w:qFormat/>
    <w:uiPriority w:val="0"/>
    <w:rPr>
      <w:kern w:val="2"/>
      <w:sz w:val="18"/>
      <w:szCs w:val="18"/>
    </w:rPr>
  </w:style>
  <w:style w:type="character" w:customStyle="1" w:styleId="13">
    <w:name w:val="纯文本 Char"/>
    <w:basedOn w:val="10"/>
    <w:link w:val="5"/>
    <w:qFormat/>
    <w:uiPriority w:val="0"/>
    <w:rPr>
      <w:rFonts w:ascii="宋体" w:hAnsi="Courier New"/>
      <w:kern w:val="2"/>
      <w:sz w:val="21"/>
    </w:rPr>
  </w:style>
  <w:style w:type="paragraph" w:customStyle="1" w:styleId="14">
    <w:name w:val="默认段落字体 Para Char Char Char Char Char Char Char Char Char1 Char Char Char Char"/>
    <w:basedOn w:val="1"/>
    <w:qFormat/>
    <w:uiPriority w:val="0"/>
    <w:rPr>
      <w:rFonts w:ascii="Tahoma" w:hAnsi="Tahoma"/>
      <w:sz w:val="24"/>
      <w:szCs w:val="20"/>
    </w:rPr>
  </w:style>
  <w:style w:type="character" w:customStyle="1" w:styleId="15">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16">
    <w:name w:val="font11"/>
    <w:basedOn w:val="10"/>
    <w:qFormat/>
    <w:uiPriority w:val="0"/>
    <w:rPr>
      <w:rFonts w:hint="eastAsia" w:ascii="仿宋" w:hAnsi="仿宋" w:eastAsia="仿宋" w:cs="仿宋"/>
      <w:b/>
      <w:bCs/>
      <w:color w:val="000000"/>
      <w:sz w:val="28"/>
      <w:szCs w:val="28"/>
      <w:u w:val="none"/>
    </w:rPr>
  </w:style>
  <w:style w:type="character" w:customStyle="1" w:styleId="17">
    <w:name w:val="font51"/>
    <w:basedOn w:val="10"/>
    <w:qFormat/>
    <w:uiPriority w:val="0"/>
    <w:rPr>
      <w:rFonts w:hint="eastAsia" w:ascii="仿宋" w:hAnsi="仿宋" w:eastAsia="仿宋" w:cs="仿宋"/>
      <w:color w:val="FF0000"/>
      <w:sz w:val="28"/>
      <w:szCs w:val="28"/>
      <w:u w:val="none"/>
    </w:rPr>
  </w:style>
  <w:style w:type="character" w:customStyle="1" w:styleId="18">
    <w:name w:val="font41"/>
    <w:basedOn w:val="10"/>
    <w:qFormat/>
    <w:uiPriority w:val="0"/>
    <w:rPr>
      <w:rFonts w:ascii="Arial" w:hAnsi="Arial" w:cs="Arial"/>
      <w:color w:val="FF0000"/>
      <w:sz w:val="28"/>
      <w:szCs w:val="28"/>
      <w:u w:val="none"/>
    </w:rPr>
  </w:style>
  <w:style w:type="character" w:customStyle="1" w:styleId="19">
    <w:name w:val="font61"/>
    <w:basedOn w:val="10"/>
    <w:qFormat/>
    <w:uiPriority w:val="0"/>
    <w:rPr>
      <w:rFonts w:hint="eastAsia" w:ascii="仿宋" w:hAnsi="仿宋" w:eastAsia="仿宋" w:cs="仿宋"/>
      <w:color w:val="000000"/>
      <w:sz w:val="28"/>
      <w:szCs w:val="28"/>
      <w:u w:val="none"/>
    </w:rPr>
  </w:style>
  <w:style w:type="character" w:customStyle="1" w:styleId="20">
    <w:name w:val="font31"/>
    <w:basedOn w:val="10"/>
    <w:qFormat/>
    <w:uiPriority w:val="0"/>
    <w:rPr>
      <w:rFonts w:hint="eastAsia" w:ascii="仿宋" w:hAnsi="仿宋" w:eastAsia="仿宋" w:cs="仿宋"/>
      <w:color w:val="000000"/>
      <w:sz w:val="28"/>
      <w:szCs w:val="28"/>
      <w:u w:val="none"/>
    </w:rPr>
  </w:style>
  <w:style w:type="paragraph" w:styleId="21">
    <w:name w:val="List Paragraph"/>
    <w:basedOn w:val="1"/>
    <w:unhideWhenUsed/>
    <w:qFormat/>
    <w:uiPriority w:val="99"/>
    <w:pPr>
      <w:ind w:firstLine="420" w:firstLineChars="200"/>
    </w:pPr>
  </w:style>
  <w:style w:type="character" w:customStyle="1" w:styleId="22">
    <w:name w:val="font21"/>
    <w:basedOn w:val="10"/>
    <w:qFormat/>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814</Words>
  <Characters>4644</Characters>
  <Lines>38</Lines>
  <Paragraphs>10</Paragraphs>
  <TotalTime>0</TotalTime>
  <ScaleCrop>false</ScaleCrop>
  <LinksUpToDate>false</LinksUpToDate>
  <CharactersWithSpaces>5448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2022-06-14T08:07:33Z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08B518B91B3F4B4A91F7DDDB11324814</vt:lpwstr>
  </property>
</Properties>
</file>