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8"/>
        <w:rPr>
          <w:rFonts w:ascii="宋体" w:hAnsi="宋体"/>
          <w:b/>
          <w:bCs/>
          <w:sz w:val="21"/>
          <w:szCs w:val="24"/>
        </w:rPr>
      </w:pPr>
      <w:r>
        <w:rPr>
          <w:rFonts w:hint="eastAsia" w:ascii="宋体" w:hAnsi="宋体"/>
          <w:b/>
          <w:bCs/>
          <w:sz w:val="21"/>
          <w:szCs w:val="24"/>
        </w:rPr>
        <w:t>说明：</w:t>
      </w:r>
    </w:p>
    <w:p>
      <w:pPr>
        <w:pStyle w:val="8"/>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8"/>
        <w:ind w:firstLine="422" w:firstLineChars="200"/>
        <w:rPr>
          <w:rFonts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val="en-US" w:eastAsia="zh-CN"/>
        </w:rPr>
        <w:t>贰拾陆万</w:t>
      </w:r>
      <w:r>
        <w:rPr>
          <w:rFonts w:ascii="宋体" w:hAnsi="宋体"/>
          <w:b/>
          <w:bCs/>
          <w:sz w:val="21"/>
          <w:szCs w:val="24"/>
        </w:rPr>
        <w:t>元整</w:t>
      </w:r>
      <w:r>
        <w:rPr>
          <w:rFonts w:hint="eastAsia" w:ascii="宋体" w:hAnsi="宋体"/>
          <w:b/>
          <w:bCs/>
          <w:sz w:val="21"/>
          <w:szCs w:val="24"/>
        </w:rPr>
        <w:t>(¥</w:t>
      </w:r>
      <w:r>
        <w:rPr>
          <w:rFonts w:hint="eastAsia" w:ascii="宋体" w:hAnsi="宋体"/>
          <w:b/>
          <w:bCs/>
          <w:sz w:val="21"/>
          <w:szCs w:val="24"/>
          <w:lang w:val="en-US" w:eastAsia="zh-CN"/>
        </w:rPr>
        <w:t>260000</w:t>
      </w:r>
      <w:r>
        <w:rPr>
          <w:rFonts w:hint="eastAsia" w:ascii="宋体" w:hAnsi="宋体"/>
          <w:b/>
          <w:bCs/>
          <w:sz w:val="21"/>
          <w:szCs w:val="24"/>
        </w:rPr>
        <w:t>元)。</w:t>
      </w:r>
    </w:p>
    <w:p>
      <w:pPr>
        <w:rPr>
          <w:rFonts w:ascii="宋体" w:hAnsi="宋体"/>
          <w:b/>
          <w:bCs/>
        </w:rPr>
      </w:pPr>
    </w:p>
    <w:p>
      <w:pPr>
        <w:rPr>
          <w:rFonts w:hint="eastAsia"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南宁广播电视台</w:t>
      </w:r>
      <w:r>
        <w:rPr>
          <w:rFonts w:hint="eastAsia" w:ascii="宋体" w:hAnsi="宋体" w:eastAsia="宋体" w:cs="Times New Roman"/>
          <w:b/>
          <w:bCs/>
          <w:kern w:val="0"/>
          <w:sz w:val="21"/>
          <w:szCs w:val="24"/>
          <w:lang w:val="en-US" w:eastAsia="zh-CN" w:bidi="ar-SA"/>
        </w:rPr>
        <w:t>“青春正潮”跨国歌会</w:t>
      </w:r>
      <w:r>
        <w:rPr>
          <w:rFonts w:hint="eastAsia" w:ascii="宋体" w:hAnsi="宋体" w:cs="Times New Roman"/>
          <w:b/>
          <w:bCs/>
          <w:kern w:val="0"/>
          <w:sz w:val="21"/>
          <w:szCs w:val="24"/>
          <w:lang w:val="en-US" w:eastAsia="zh-CN" w:bidi="ar-SA"/>
        </w:rPr>
        <w:t>后勤</w:t>
      </w:r>
      <w:r>
        <w:rPr>
          <w:rFonts w:hint="eastAsia" w:ascii="宋体" w:hAnsi="宋体" w:eastAsia="宋体" w:cs="Times New Roman"/>
          <w:b/>
          <w:bCs/>
          <w:kern w:val="0"/>
          <w:sz w:val="21"/>
          <w:szCs w:val="24"/>
          <w:lang w:val="en-US" w:eastAsia="zh-CN" w:bidi="ar-SA"/>
        </w:rPr>
        <w:t>服务</w:t>
      </w:r>
    </w:p>
    <w:p>
      <w:pPr>
        <w:pStyle w:val="4"/>
        <w:jc w:val="center"/>
        <w:rPr>
          <w:b/>
          <w:sz w:val="36"/>
        </w:rPr>
      </w:pPr>
    </w:p>
    <w:tbl>
      <w:tblPr>
        <w:tblStyle w:val="9"/>
        <w:tblW w:w="11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594"/>
        <w:gridCol w:w="175"/>
        <w:gridCol w:w="720"/>
        <w:gridCol w:w="645"/>
        <w:gridCol w:w="990"/>
        <w:gridCol w:w="946"/>
        <w:gridCol w:w="5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86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8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“青春正潮”跨国歌会后勤服务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260000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260000</w:t>
            </w:r>
          </w:p>
        </w:tc>
        <w:tc>
          <w:tcPr>
            <w:tcW w:w="5864"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本项目的主要任务是完成“青春正潮”跨国歌会项目组全体演员与工作人员的的后勤工作，地点为广西、北京等地，需安排的行程有：住宿、用餐、交通、翻译、沟通交流、日程安排等一系列事项，需要由有国内旅游资质等专业的公司予以承接。</w:t>
            </w:r>
          </w:p>
          <w:p>
            <w:pPr>
              <w:pStyle w:val="12"/>
              <w:widowControl/>
              <w:numPr>
                <w:ilvl w:val="0"/>
                <w:numId w:val="0"/>
              </w:numPr>
              <w:ind w:leftChars="0" w:firstLine="480" w:firstLineChars="2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二、负责约300人左右的后勤服务，需提供服务方案。</w:t>
            </w:r>
          </w:p>
          <w:p>
            <w:pPr>
              <w:pStyle w:val="12"/>
              <w:widowControl/>
              <w:numPr>
                <w:ilvl w:val="0"/>
                <w:numId w:val="0"/>
              </w:numPr>
              <w:ind w:leftChars="0" w:firstLine="480" w:firstLineChars="2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三、提供10人以上的后勤服务团队。</w:t>
            </w:r>
          </w:p>
          <w:p>
            <w:pPr>
              <w:pStyle w:val="12"/>
              <w:widowControl/>
              <w:numPr>
                <w:ilvl w:val="0"/>
                <w:numId w:val="0"/>
              </w:numPr>
              <w:ind w:leftChars="0" w:firstLine="480" w:firstLineChars="2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四、活动开始前10天，至少安排1名项目负责人在南宁广播电视台开展前期联络、筹备对接工作。项目负责人须有类似经验，具有与外方开展商务对接的丰富经验以及与政府部门进行沟通协作的经历，开展整体活动的统筹工作。</w:t>
            </w:r>
          </w:p>
          <w:p>
            <w:pPr>
              <w:pStyle w:val="12"/>
              <w:widowControl/>
              <w:numPr>
                <w:ilvl w:val="0"/>
                <w:numId w:val="0"/>
              </w:numPr>
              <w:ind w:leftChars="0" w:firstLine="480" w:firstLineChars="2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五、安排的人员需熟悉所在城市情况、责任感强、形象较好、有流畅沟通能力以及较强协调能力的导游引领。</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754"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60" w:firstLineChars="15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一、合同签订期</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自成交通知书发出之日起  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★二、服务期限</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自合同签订之日起服务起至项目验收交付。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★三、服务要求</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1、质量保证期 自合同签订之日起计至完成服务并验收合格之日止。</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★四、付款方式</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本项目无预付款，合同签署后，双方按单个项目的验收清单结算。中标供应商提供双方确认的验收清单以及对应金额的增值税专用发票给采购人，采购人在收到发票后五个工作日内按验收清单金额结算。</w:t>
            </w:r>
          </w:p>
          <w:p>
            <w:pPr>
              <w:pStyle w:val="4"/>
              <w:ind w:left="210" w:leftChars="100"/>
              <w:rPr>
                <w:rFonts w:hint="eastAsia" w:ascii="Times New Roman" w:hAnsi="Times New Roman" w:eastAsia="宋体" w:cs="Times New Roman"/>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★五、其他要求</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1、投标报价包括但不限于：交通、食宿、保险、相关物料等相关费用。</w:t>
            </w:r>
          </w:p>
          <w:p>
            <w:pPr>
              <w:widowControl/>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2、保障措施：中标供应商须保证本次活动的安全保障，包括现场水、交通安全、人员安全等。如发生安全事故，所有责任及赔偿由中标供应商承担。</w:t>
            </w:r>
          </w:p>
          <w:p>
            <w:pPr>
              <w:widowControl/>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3、供应商成交后在项目接待实施过程中，导游人员必须具有导游证，至少有3年工作经验，否则以虚假应标处理，按政府采购相关法律规定追究成交供应商责任，并赔偿损失。需提供相关证件证明材料。</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4、报价必须含以下部分，包括：</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（1）完成采购范围的全部项目内容；</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（2）必要的保险费用和各项税金；</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（3）涉及人员的报酬、各项税金等及其他国家规定相关费用；</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（4）投标人的纳税人类别和增值税率，增值税发票票种；</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5、其他要求</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（1）中标供应商中标后不能将服务外包给第三方管理。</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p>
        </w:tc>
      </w:tr>
    </w:tbl>
    <w:p>
      <w:pPr>
        <w:pStyle w:val="4"/>
        <w:jc w:val="center"/>
        <w:rPr>
          <w:b/>
          <w:sz w:val="36"/>
        </w:rPr>
      </w:pPr>
    </w:p>
    <w:p/>
    <w:p>
      <w:pPr>
        <w:pStyle w:val="2"/>
      </w:pPr>
    </w:p>
    <w:p/>
    <w:p>
      <w:pPr>
        <w:pStyle w:val="4"/>
      </w:pPr>
    </w:p>
    <w:p>
      <w:pPr>
        <w:pStyle w:val="5"/>
      </w:pPr>
    </w:p>
    <w:p>
      <w:pPr>
        <w:pStyle w:val="5"/>
      </w:pPr>
    </w:p>
    <w:p>
      <w:pPr>
        <w:pStyle w:val="5"/>
      </w:pPr>
    </w:p>
    <w:p>
      <w:pPr>
        <w:pStyle w:val="5"/>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rFonts w:hint="eastAsia"/>
          <w:b/>
          <w:sz w:val="36"/>
        </w:rPr>
      </w:pPr>
    </w:p>
    <w:p>
      <w:pPr>
        <w:pStyle w:val="4"/>
        <w:jc w:val="center"/>
        <w:rPr>
          <w:b/>
          <w:sz w:val="36"/>
        </w:rPr>
      </w:pPr>
      <w:r>
        <w:rPr>
          <w:rFonts w:hint="eastAsia"/>
          <w:b/>
          <w:sz w:val="36"/>
        </w:rPr>
        <w:t>第二章</w:t>
      </w:r>
      <w:r>
        <w:rPr>
          <w:b/>
          <w:sz w:val="36"/>
        </w:rPr>
        <w:t xml:space="preserve"> </w:t>
      </w:r>
      <w:r>
        <w:rPr>
          <w:rFonts w:hint="eastAsia"/>
          <w:b/>
          <w:sz w:val="36"/>
        </w:rPr>
        <w:t>评审方法</w:t>
      </w:r>
    </w:p>
    <w:p>
      <w:pPr>
        <w:pStyle w:val="4"/>
        <w:jc w:val="center"/>
        <w:rPr>
          <w:sz w:val="28"/>
        </w:rPr>
      </w:pPr>
      <w:r>
        <w:rPr>
          <w:rFonts w:hint="eastAsia" w:ascii="宋体" w:hAnsi="宋体" w:cs="宋体"/>
          <w:szCs w:val="21"/>
        </w:rPr>
        <w:t>综合评分法</w:t>
      </w:r>
    </w:p>
    <w:p>
      <w:pPr>
        <w:ind w:firstLine="210" w:firstLineChars="100"/>
        <w:rPr>
          <w:rFonts w:ascii="宋体" w:hAnsi="宋体"/>
          <w:szCs w:val="20"/>
        </w:rPr>
      </w:pPr>
    </w:p>
    <w:p>
      <w:pPr>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以投标文件为评审依据，对供应商的最后报价、技术、商务等方面内容按百分制打分。</w:t>
      </w:r>
    </w:p>
    <w:p>
      <w:pPr>
        <w:pStyle w:val="7"/>
        <w:spacing w:line="360" w:lineRule="exact"/>
        <w:ind w:firstLine="422" w:firstLineChars="200"/>
        <w:rPr>
          <w:rFonts w:hAnsi="宋体"/>
          <w:b/>
          <w:bCs/>
        </w:rPr>
      </w:pPr>
      <w:r>
        <w:rPr>
          <w:rFonts w:hint="eastAsia" w:hAnsi="宋体"/>
          <w:b/>
          <w:bCs/>
        </w:rPr>
        <w:t>一</w:t>
      </w:r>
      <w:r>
        <w:rPr>
          <w:rFonts w:hAnsi="宋体"/>
          <w:b/>
          <w:bCs/>
        </w:rPr>
        <w:t>、评标方法</w:t>
      </w:r>
    </w:p>
    <w:p>
      <w:pPr>
        <w:pStyle w:val="7"/>
        <w:numPr>
          <w:ilvl w:val="0"/>
          <w:numId w:val="1"/>
        </w:numPr>
        <w:spacing w:line="360" w:lineRule="exact"/>
        <w:ind w:left="0" w:leftChars="0" w:firstLine="420" w:firstLineChars="0"/>
        <w:rPr>
          <w:rFonts w:hAnsi="宋体"/>
          <w:b/>
          <w:bCs/>
        </w:rPr>
      </w:pPr>
      <w:r>
        <w:rPr>
          <w:rFonts w:hAnsi="宋体"/>
          <w:b/>
          <w:bCs/>
        </w:rPr>
        <w:t>对进入详评的，采用百分制综合评分法。</w:t>
      </w:r>
    </w:p>
    <w:p>
      <w:pPr>
        <w:pStyle w:val="7"/>
        <w:numPr>
          <w:ilvl w:val="0"/>
          <w:numId w:val="1"/>
        </w:numPr>
        <w:spacing w:line="360" w:lineRule="exact"/>
        <w:ind w:left="0" w:leftChars="0" w:firstLine="420" w:firstLineChars="0"/>
        <w:jc w:val="left"/>
        <w:rPr>
          <w:rFonts w:hAnsi="宋体"/>
          <w:b/>
          <w:bCs/>
          <w:color w:val="auto"/>
        </w:rPr>
      </w:pPr>
      <w:r>
        <w:rPr>
          <w:rFonts w:hAnsi="宋体"/>
          <w:b/>
          <w:bCs/>
        </w:rPr>
        <w:t>计分办法（按四</w:t>
      </w:r>
      <w:r>
        <w:rPr>
          <w:rFonts w:hAnsi="宋体"/>
          <w:b/>
          <w:bCs/>
          <w:color w:val="auto"/>
        </w:rPr>
        <w:t>舍五入取至百分位）：</w:t>
      </w:r>
    </w:p>
    <w:p>
      <w:pPr>
        <w:pStyle w:val="7"/>
        <w:numPr>
          <w:ilvl w:val="0"/>
          <w:numId w:val="2"/>
        </w:numPr>
        <w:spacing w:line="360" w:lineRule="exact"/>
        <w:ind w:left="425" w:leftChars="0" w:hanging="425" w:firstLineChars="0"/>
        <w:jc w:val="left"/>
        <w:rPr>
          <w:rFonts w:hAnsi="宋体"/>
          <w:b/>
          <w:bCs/>
          <w:color w:val="auto"/>
        </w:rPr>
      </w:pPr>
      <w:r>
        <w:rPr>
          <w:rFonts w:hAnsi="宋体"/>
          <w:b/>
          <w:bCs/>
          <w:color w:val="auto"/>
        </w:rPr>
        <w:t>价格分……………………………………………………………………………………</w:t>
      </w:r>
      <w:r>
        <w:rPr>
          <w:rFonts w:hint="eastAsia" w:hAnsi="宋体"/>
          <w:b/>
          <w:bCs/>
          <w:color w:val="auto"/>
          <w:lang w:val="en-US" w:eastAsia="zh-CN"/>
        </w:rPr>
        <w:t>30</w:t>
      </w:r>
      <w:r>
        <w:rPr>
          <w:rFonts w:hAnsi="宋体"/>
          <w:b/>
          <w:bCs/>
          <w:color w:val="auto"/>
        </w:rPr>
        <w:t>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1）对于非专门面向中小企业的项目，投标人在其投标文件中提供《中小企业声明函》，且其货物为小型和微型企业承接的，对其小型和微型企业产品的最后报价给予20%的价格扣除，扣除后的价格为评标价，即评标价＝投标报价×（1-20%）；（以投标人按要求提供的《投标报价表》和《中小企业声明函》为评审依据）</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2）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（3）以进入评标的最低的投标报价为30分。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 xml:space="preserve">（4）某投标人价格得分 =   </w:t>
      </w:r>
      <w:r>
        <w:rPr>
          <w:rFonts w:hint="eastAsia" w:ascii="宋体" w:hAnsi="宋体" w:eastAsia="宋体"/>
          <w:bCs/>
          <w:lang w:val="en-US" w:eastAsia="zh-CN"/>
        </w:rPr>
        <w:fldChar w:fldCharType="begin"/>
      </w:r>
      <w:r>
        <w:rPr>
          <w:rFonts w:hint="eastAsia" w:ascii="宋体" w:hAnsi="宋体" w:eastAsia="宋体"/>
          <w:bCs/>
          <w:lang w:val="en-US" w:eastAsia="zh-CN"/>
        </w:rPr>
        <w:instrText xml:space="preserve"> EQ \F(投标人最低报价（金额）,某投标人报价（金额）) </w:instrText>
      </w:r>
      <w:r>
        <w:rPr>
          <w:rFonts w:hint="eastAsia" w:ascii="宋体" w:hAnsi="宋体" w:eastAsia="宋体"/>
          <w:bCs/>
          <w:lang w:val="en-US" w:eastAsia="zh-CN"/>
        </w:rPr>
        <w:fldChar w:fldCharType="end"/>
      </w:r>
      <w:r>
        <w:rPr>
          <w:rFonts w:hint="eastAsia" w:ascii="宋体" w:hAnsi="宋体" w:eastAsia="宋体"/>
          <w:bCs/>
          <w:lang w:val="en-US" w:eastAsia="zh-CN"/>
        </w:rPr>
        <w:t>×30分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5）投标人的报价明显低于其他投标人的报价，且其投标报价可能低于其成本的，应当要求该投标人做出书面说明并提供相关证明材料。投标人不能合理说明并提供相关证明材料的，评标委员会将认定该投标人以低于成本价投标，报价严重不平衡、不合理，是恶意不正当竞争行为，其投标将作无效投标处理。</w:t>
      </w:r>
    </w:p>
    <w:p>
      <w:pPr>
        <w:pStyle w:val="7"/>
        <w:numPr>
          <w:ilvl w:val="0"/>
          <w:numId w:val="2"/>
        </w:numPr>
        <w:spacing w:line="360" w:lineRule="exact"/>
        <w:ind w:left="425" w:leftChars="0" w:hanging="425" w:firstLineChars="0"/>
        <w:outlineLvl w:val="0"/>
        <w:rPr>
          <w:rFonts w:hAnsi="宋体"/>
          <w:b/>
        </w:rPr>
      </w:pPr>
      <w:r>
        <w:rPr>
          <w:rFonts w:hint="eastAsia" w:hAnsi="宋体"/>
          <w:b/>
          <w:bCs/>
        </w:rPr>
        <w:t>技术</w:t>
      </w:r>
      <w:r>
        <w:rPr>
          <w:rFonts w:hAnsi="宋体"/>
          <w:b/>
          <w:bCs/>
        </w:rPr>
        <w:t>分……………………………………………………………………………………</w:t>
      </w:r>
      <w:r>
        <w:rPr>
          <w:rFonts w:hint="eastAsia" w:hAnsi="宋体"/>
          <w:b/>
          <w:bCs/>
          <w:lang w:val="en-US" w:eastAsia="zh-CN"/>
        </w:rPr>
        <w:t>5</w:t>
      </w:r>
      <w:r>
        <w:rPr>
          <w:rFonts w:hint="eastAsia" w:hAnsi="宋体"/>
          <w:b/>
          <w:bCs/>
          <w:color w:val="auto"/>
          <w:lang w:val="en-US" w:eastAsia="zh-CN"/>
        </w:rPr>
        <w:t>0</w:t>
      </w:r>
      <w:r>
        <w:rPr>
          <w:rFonts w:hAnsi="宋体"/>
          <w:b/>
          <w:bCs/>
          <w:color w:val="auto"/>
        </w:rPr>
        <w:t>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（1）实施方案分：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一档（10）：投标人针对本次项目配备有后勤团队，有服务方案。</w:t>
      </w:r>
    </w:p>
    <w:p>
      <w:pPr>
        <w:pStyle w:val="7"/>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二档（20）：投标人针对本项目配备的后勤团队人员分工明确，有合理的服务方案。</w:t>
      </w:r>
    </w:p>
    <w:p>
      <w:pPr>
        <w:pStyle w:val="7"/>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三档（30）：投标人针对本次项目配备优秀的后勤团队且分工明确，有完善的服务方案。</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（2）质量保证服务承诺分</w:t>
      </w:r>
    </w:p>
    <w:p>
      <w:pPr>
        <w:pStyle w:val="7"/>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一档（7）：质量保证措施不完善，服务承诺不具体。</w:t>
      </w:r>
    </w:p>
    <w:p>
      <w:pPr>
        <w:pStyle w:val="7"/>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二挡（15）：质量保证措施较完善，服务承诺较具体。</w:t>
      </w:r>
    </w:p>
    <w:p>
      <w:pPr>
        <w:pStyle w:val="7"/>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三档（20）：质量保证措施完善，服务承诺具体。</w:t>
      </w:r>
    </w:p>
    <w:p>
      <w:pPr>
        <w:pStyle w:val="7"/>
        <w:numPr>
          <w:ilvl w:val="0"/>
          <w:numId w:val="2"/>
        </w:numPr>
        <w:spacing w:line="360" w:lineRule="exact"/>
        <w:ind w:left="425" w:leftChars="0" w:hanging="425" w:firstLineChars="0"/>
        <w:rPr>
          <w:rFonts w:hint="eastAsia" w:ascii="宋体" w:hAnsi="宋体"/>
          <w:bCs/>
          <w:lang w:val="en-US" w:eastAsia="zh-CN"/>
        </w:rPr>
      </w:pPr>
      <w:r>
        <w:rPr>
          <w:rFonts w:hint="eastAsia" w:hAnsi="宋体"/>
          <w:b/>
          <w:bCs/>
        </w:rPr>
        <w:t>商务</w:t>
      </w:r>
      <w:r>
        <w:rPr>
          <w:rFonts w:hAnsi="宋体"/>
          <w:b/>
          <w:bCs/>
        </w:rPr>
        <w:t>分……………………………………………………………………………………</w:t>
      </w:r>
      <w:r>
        <w:rPr>
          <w:rFonts w:hint="eastAsia" w:hAnsi="宋体"/>
          <w:b/>
          <w:bCs/>
          <w:color w:val="auto"/>
          <w:lang w:val="en-US" w:eastAsia="zh-CN"/>
        </w:rPr>
        <w:t>20</w:t>
      </w:r>
      <w:r>
        <w:rPr>
          <w:rFonts w:hAnsi="宋体"/>
          <w:b/>
          <w:bCs/>
          <w:color w:val="auto"/>
        </w:rPr>
        <w:t>分</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（1）</w:t>
      </w:r>
      <w:r>
        <w:rPr>
          <w:rFonts w:hint="eastAsia" w:hAnsi="宋体"/>
          <w:bCs/>
          <w:lang w:val="en-US" w:eastAsia="zh-CN"/>
        </w:rPr>
        <w:t>承办或承接</w:t>
      </w:r>
      <w:r>
        <w:rPr>
          <w:rFonts w:hint="eastAsia" w:ascii="宋体" w:hAnsi="宋体" w:eastAsia="宋体"/>
          <w:bCs/>
          <w:lang w:val="en-US" w:eastAsia="zh-CN"/>
        </w:rPr>
        <w:t>过后勤服务项目</w:t>
      </w:r>
      <w:r>
        <w:rPr>
          <w:rFonts w:hint="eastAsia" w:hAnsi="宋体"/>
          <w:bCs/>
          <w:lang w:val="en-US" w:eastAsia="zh-CN"/>
        </w:rPr>
        <w:t>，活动费用10万以上的</w:t>
      </w:r>
      <w:r>
        <w:rPr>
          <w:rFonts w:hint="eastAsia" w:ascii="宋体" w:hAnsi="宋体" w:eastAsia="宋体"/>
          <w:bCs/>
          <w:lang w:val="en-US" w:eastAsia="zh-CN"/>
        </w:rPr>
        <w:t>，每项得4分，满分8分。（提供项目合同或协议书复印件作为佐证材料，同一合同或协议书不能重复计分。）</w:t>
      </w:r>
    </w:p>
    <w:p>
      <w:pPr>
        <w:pStyle w:val="7"/>
        <w:snapToGrid w:val="0"/>
        <w:spacing w:line="360" w:lineRule="auto"/>
        <w:ind w:firstLine="308" w:firstLineChars="147"/>
        <w:rPr>
          <w:rFonts w:hint="eastAsia" w:ascii="宋体" w:hAnsi="宋体" w:eastAsia="宋体"/>
          <w:bCs/>
          <w:lang w:val="en-US" w:eastAsia="zh-CN"/>
        </w:rPr>
      </w:pPr>
      <w:r>
        <w:rPr>
          <w:rFonts w:hint="eastAsia" w:hAnsi="宋体"/>
          <w:bCs/>
          <w:lang w:val="en-US" w:eastAsia="zh-CN"/>
        </w:rPr>
        <w:t>（2）</w:t>
      </w:r>
      <w:r>
        <w:rPr>
          <w:rFonts w:hint="eastAsia" w:ascii="宋体" w:hAnsi="宋体" w:eastAsia="宋体"/>
          <w:bCs/>
          <w:lang w:val="en-US" w:eastAsia="zh-CN"/>
        </w:rPr>
        <w:t>承办或承接过较大</w:t>
      </w:r>
      <w:bookmarkStart w:id="6" w:name="_GoBack"/>
      <w:bookmarkEnd w:id="6"/>
      <w:r>
        <w:rPr>
          <w:rFonts w:hint="eastAsia" w:ascii="宋体" w:hAnsi="宋体" w:eastAsia="宋体"/>
          <w:bCs/>
          <w:lang w:val="en-US" w:eastAsia="zh-CN"/>
        </w:rPr>
        <w:t>规模的政府公务接待项目，活动费用为20万以上的，得4分。（需提供合同或相关证明）</w:t>
      </w:r>
    </w:p>
    <w:p>
      <w:pPr>
        <w:pStyle w:val="7"/>
        <w:snapToGrid w:val="0"/>
        <w:spacing w:line="360" w:lineRule="auto"/>
        <w:ind w:firstLine="308" w:firstLineChars="147"/>
        <w:rPr>
          <w:rFonts w:hint="default" w:ascii="宋体" w:hAnsi="宋体" w:eastAsia="宋体"/>
          <w:bCs/>
          <w:lang w:val="en-US" w:eastAsia="zh-CN"/>
        </w:rPr>
      </w:pPr>
      <w:r>
        <w:rPr>
          <w:rFonts w:hint="eastAsia" w:hAnsi="宋体"/>
          <w:bCs/>
          <w:lang w:val="en-US" w:eastAsia="zh-CN"/>
        </w:rPr>
        <w:t>（3）</w:t>
      </w:r>
      <w:r>
        <w:rPr>
          <w:rFonts w:hint="eastAsia" w:ascii="宋体" w:hAnsi="宋体" w:eastAsia="宋体"/>
          <w:bCs/>
          <w:lang w:val="en-US" w:eastAsia="zh-CN"/>
        </w:rPr>
        <w:t>承办或承接过媒体相关活动2次以上，每次活动费用40万以上的项目，得4分（需提供合同或相关证明）</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（4）承办或承接过国际大型活动或大型赛事的，得4分。（需提供合同或相关证明）</w:t>
      </w:r>
    </w:p>
    <w:p>
      <w:pPr>
        <w:pStyle w:val="7"/>
        <w:numPr>
          <w:ilvl w:val="0"/>
          <w:numId w:val="0"/>
        </w:numPr>
        <w:spacing w:line="360" w:lineRule="exact"/>
        <w:ind w:leftChars="0" w:firstLine="422" w:firstLineChars="200"/>
        <w:jc w:val="left"/>
        <w:rPr>
          <w:rFonts w:hint="eastAsia" w:ascii="宋体" w:hAnsi="宋体" w:eastAsia="宋体" w:cs="Times New Roman"/>
          <w:b/>
          <w:kern w:val="2"/>
          <w:sz w:val="21"/>
          <w:szCs w:val="24"/>
          <w:lang w:val="en-US" w:eastAsia="zh-CN" w:bidi="ar-SA"/>
        </w:rPr>
      </w:pPr>
      <w:r>
        <w:rPr>
          <w:rFonts w:hint="eastAsia" w:ascii="宋体" w:hAnsi="宋体" w:eastAsia="宋体" w:cs="Times New Roman"/>
          <w:b/>
          <w:kern w:val="2"/>
          <w:sz w:val="21"/>
          <w:szCs w:val="24"/>
          <w:lang w:val="en-US" w:eastAsia="zh-CN" w:bidi="ar-SA"/>
        </w:rPr>
        <w:t>注：提供相关证明文件并加盖公章，无提供相关证明文件不得分。</w:t>
      </w:r>
    </w:p>
    <w:p>
      <w:pPr>
        <w:pStyle w:val="7"/>
        <w:spacing w:line="360" w:lineRule="exact"/>
        <w:ind w:firstLine="420"/>
        <w:rPr>
          <w:rFonts w:hAnsi="宋体"/>
          <w:b/>
          <w:bCs/>
        </w:rPr>
      </w:pPr>
      <w:r>
        <w:rPr>
          <w:rFonts w:hAnsi="宋体"/>
          <w:b/>
          <w:bCs/>
        </w:rPr>
        <w:t>总得分</w:t>
      </w:r>
      <w:r>
        <w:rPr>
          <w:rFonts w:hint="eastAsia" w:hAnsi="宋体"/>
          <w:b/>
          <w:bCs/>
        </w:rPr>
        <w:t xml:space="preserve"> = 1 + 2 + 3 </w:t>
      </w:r>
    </w:p>
    <w:p>
      <w:pPr>
        <w:adjustRightInd w:val="0"/>
        <w:snapToGrid w:val="0"/>
        <w:spacing w:line="360" w:lineRule="exact"/>
        <w:ind w:firstLine="422" w:firstLineChars="200"/>
        <w:rPr>
          <w:rFonts w:ascii="宋体" w:hAnsi="宋体"/>
          <w:b/>
        </w:rPr>
      </w:pPr>
    </w:p>
    <w:p>
      <w:pPr>
        <w:adjustRightInd w:val="0"/>
        <w:snapToGrid w:val="0"/>
        <w:spacing w:line="360" w:lineRule="exact"/>
        <w:ind w:firstLine="422" w:firstLineChars="200"/>
        <w:rPr>
          <w:rFonts w:ascii="宋体" w:hAnsi="宋体"/>
          <w:b/>
        </w:rPr>
      </w:pPr>
      <w:r>
        <w:rPr>
          <w:rFonts w:hint="eastAsia" w:ascii="宋体" w:hAnsi="宋体"/>
          <w:b/>
        </w:rPr>
        <w:t>二、中标候选人推荐原则</w:t>
      </w:r>
    </w:p>
    <w:p>
      <w:pPr>
        <w:pStyle w:val="7"/>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r>
        <w:rPr>
          <w:rFonts w:hint="eastAsia" w:ascii="宋体" w:hAnsi="宋体" w:eastAsia="宋体"/>
          <w:bCs/>
          <w:lang w:val="en-US" w:eastAsia="zh-CN"/>
        </w:rPr>
        <w:br w:type="textWrapping"/>
      </w:r>
      <w:r>
        <w:rPr>
          <w:rFonts w:hint="eastAsia" w:ascii="宋体" w:hAnsi="宋体" w:eastAsia="宋体"/>
          <w:bCs/>
          <w:lang w:val="en-US" w:eastAsia="zh-CN"/>
        </w:rPr>
        <w:t xml:space="preserve">    （二）评标委员会认为，某投标人的有效投标报价或者某些分项报价明显不合理或者低于成本，有可能影响服务质量和不能诚信履约的，应要求其在规定的期限内提供书面文件予以解释说明，并提交相关证明材料，否则，评标委员会不推荐该投标人为中标候选人。</w:t>
      </w:r>
    </w:p>
    <w:p>
      <w:pPr>
        <w:pStyle w:val="3"/>
      </w:pPr>
    </w:p>
    <w:p/>
    <w:p>
      <w:pPr>
        <w:pStyle w:val="4"/>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7"/>
        <w:spacing w:line="440" w:lineRule="exact"/>
        <w:jc w:val="center"/>
        <w:rPr>
          <w:rFonts w:hint="eastAsia" w:ascii="Times New Roman" w:hAnsi="Times New Roman"/>
          <w:b/>
          <w:sz w:val="36"/>
        </w:rPr>
      </w:pPr>
      <w:bookmarkStart w:id="2" w:name="_Toc532545044"/>
    </w:p>
    <w:p>
      <w:pPr>
        <w:pStyle w:val="7"/>
        <w:spacing w:line="440" w:lineRule="exact"/>
        <w:jc w:val="center"/>
        <w:rPr>
          <w:rFonts w:hint="eastAsia"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Ansi="宋体"/>
        </w:rPr>
      </w:pPr>
      <w:r>
        <w:rPr>
          <w:rFonts w:hint="eastAsia" w:ascii="Times New Roman" w:hAnsi="Times New Roman"/>
          <w:b/>
          <w:sz w:val="36"/>
        </w:rPr>
        <w:br w:type="textWrapping"/>
      </w: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7"/>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7"/>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7"/>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4"/>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（必须提供）</w:t>
      </w:r>
    </w:p>
    <w:p>
      <w:pPr>
        <w:pStyle w:val="4"/>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4"/>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5"/>
        <w:rPr>
          <w:rFonts w:hint="default"/>
          <w:lang w:val="en-US" w:eastAsia="zh-CN"/>
        </w:rPr>
      </w:pPr>
      <w:r>
        <w:rPr>
          <w:rFonts w:hint="eastAsia" w:hAnsi="宋体" w:cs="Times New Roman"/>
          <w:kern w:val="2"/>
          <w:sz w:val="21"/>
          <w:szCs w:val="21"/>
          <w:lang w:val="en-US" w:eastAsia="zh-CN" w:bidi="ar-SA"/>
        </w:rPr>
        <w:t xml:space="preserve">  3.质量保证服务承诺书（格式自拟）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4"/>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hint="eastAsia" w:ascii="宋体" w:hAnsi="宋体"/>
          <w:b/>
          <w:sz w:val="32"/>
          <w:szCs w:val="32"/>
        </w:rPr>
      </w:pP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7"/>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7"/>
        <w:snapToGrid w:val="0"/>
        <w:jc w:val="center"/>
        <w:rPr>
          <w:rFonts w:hAnsi="宋体"/>
          <w:b/>
          <w:sz w:val="32"/>
          <w:szCs w:val="32"/>
        </w:rPr>
      </w:pPr>
    </w:p>
    <w:p>
      <w:pPr>
        <w:pStyle w:val="7"/>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7"/>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6"/>
        <w:tabs>
          <w:tab w:val="left" w:pos="939"/>
        </w:tabs>
        <w:snapToGrid w:val="0"/>
        <w:spacing w:line="46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15"/>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8"/>
      </w:pPr>
    </w:p>
    <w:p>
      <w:pPr>
        <w:pStyle w:val="8"/>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7"/>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4"/>
      </w:pPr>
    </w:p>
    <w:p>
      <w:pPr>
        <w:pStyle w:val="5"/>
      </w:pPr>
    </w:p>
    <w:p>
      <w:pPr>
        <w:pStyle w:val="5"/>
      </w:pPr>
    </w:p>
    <w:p>
      <w:pPr>
        <w:pStyle w:val="5"/>
      </w:pPr>
    </w:p>
    <w:p>
      <w:pPr>
        <w:pStyle w:val="5"/>
      </w:pPr>
    </w:p>
    <w:p>
      <w:pPr>
        <w:pStyle w:val="5"/>
      </w:pPr>
    </w:p>
    <w:p>
      <w:pPr>
        <w:pStyle w:val="5"/>
      </w:pPr>
    </w:p>
    <w:p>
      <w:pPr>
        <w:pStyle w:val="7"/>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7"/>
        <w:spacing w:beforeLines="0" w:afterLines="0" w:line="440" w:lineRule="exact"/>
        <w:ind w:firstLine="420" w:firstLineChars="200"/>
        <w:rPr>
          <w:rFonts w:hint="default"/>
          <w:color w:val="auto"/>
          <w:sz w:val="21"/>
          <w:szCs w:val="20"/>
          <w:highlight w:val="none"/>
        </w:rPr>
      </w:pPr>
    </w:p>
    <w:p>
      <w:pPr>
        <w:pStyle w:val="7"/>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7"/>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7"/>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7"/>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7"/>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5"/>
      </w:pPr>
    </w:p>
    <w:p>
      <w:pPr>
        <w:pStyle w:val="5"/>
      </w:pPr>
    </w:p>
    <w:p>
      <w:pPr>
        <w:pStyle w:val="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DC1C3"/>
    <w:multiLevelType w:val="singleLevel"/>
    <w:tmpl w:val="448DC1C3"/>
    <w:lvl w:ilvl="0" w:tentative="0">
      <w:start w:val="1"/>
      <w:numFmt w:val="decimal"/>
      <w:lvlText w:val="%1."/>
      <w:lvlJc w:val="left"/>
      <w:pPr>
        <w:ind w:left="425" w:hanging="425"/>
      </w:pPr>
      <w:rPr>
        <w:rFonts w:hint="default"/>
      </w:rPr>
    </w:lvl>
  </w:abstractNum>
  <w:abstractNum w:abstractNumId="1">
    <w:nsid w:val="7C2A3A6E"/>
    <w:multiLevelType w:val="singleLevel"/>
    <w:tmpl w:val="7C2A3A6E"/>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10D9"/>
    <w:rsid w:val="00057E8C"/>
    <w:rsid w:val="000F620D"/>
    <w:rsid w:val="001F0F3D"/>
    <w:rsid w:val="00236A2F"/>
    <w:rsid w:val="005B3887"/>
    <w:rsid w:val="007463FC"/>
    <w:rsid w:val="0077018F"/>
    <w:rsid w:val="0087160C"/>
    <w:rsid w:val="00AB49CB"/>
    <w:rsid w:val="00ED7BEA"/>
    <w:rsid w:val="00F56E34"/>
    <w:rsid w:val="01B53A52"/>
    <w:rsid w:val="06FF0CA2"/>
    <w:rsid w:val="0BB77070"/>
    <w:rsid w:val="0FB21319"/>
    <w:rsid w:val="128D0FAD"/>
    <w:rsid w:val="184365B4"/>
    <w:rsid w:val="1F6A6A21"/>
    <w:rsid w:val="214A43AF"/>
    <w:rsid w:val="216C0C3E"/>
    <w:rsid w:val="24942242"/>
    <w:rsid w:val="25CE681F"/>
    <w:rsid w:val="26D27EE8"/>
    <w:rsid w:val="29161CE3"/>
    <w:rsid w:val="29E01614"/>
    <w:rsid w:val="2A1E10D9"/>
    <w:rsid w:val="2CE552A3"/>
    <w:rsid w:val="3343509B"/>
    <w:rsid w:val="340A7441"/>
    <w:rsid w:val="36B740E0"/>
    <w:rsid w:val="392D4CCD"/>
    <w:rsid w:val="3A2068D8"/>
    <w:rsid w:val="3B470344"/>
    <w:rsid w:val="3C8B39E5"/>
    <w:rsid w:val="3EE04332"/>
    <w:rsid w:val="3FD553CB"/>
    <w:rsid w:val="44375EF2"/>
    <w:rsid w:val="445D7E16"/>
    <w:rsid w:val="46B54148"/>
    <w:rsid w:val="46E40CA4"/>
    <w:rsid w:val="4F80239D"/>
    <w:rsid w:val="502B0E52"/>
    <w:rsid w:val="53D44DA5"/>
    <w:rsid w:val="57C71F75"/>
    <w:rsid w:val="5D457254"/>
    <w:rsid w:val="6029392F"/>
    <w:rsid w:val="61F55E1A"/>
    <w:rsid w:val="62DD645B"/>
    <w:rsid w:val="6382242B"/>
    <w:rsid w:val="64D36D78"/>
    <w:rsid w:val="694F38AE"/>
    <w:rsid w:val="6CB206CD"/>
    <w:rsid w:val="709D30BD"/>
    <w:rsid w:val="74565DF6"/>
    <w:rsid w:val="78A62447"/>
    <w:rsid w:val="79177498"/>
    <w:rsid w:val="7D4C1230"/>
    <w:rsid w:val="7D5E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380" w:lineRule="exact"/>
    </w:pPr>
    <w:rPr>
      <w:kern w:val="0"/>
      <w:sz w:val="24"/>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List 2"/>
    <w:basedOn w:val="1"/>
    <w:qFormat/>
    <w:uiPriority w:val="0"/>
    <w:pPr>
      <w:ind w:left="100" w:leftChars="200" w:hanging="200" w:hangingChars="200"/>
    </w:pPr>
    <w:rPr>
      <w:sz w:val="28"/>
    </w:rPr>
  </w:style>
  <w:style w:type="paragraph" w:styleId="7">
    <w:name w:val="Plain Text"/>
    <w:basedOn w:val="1"/>
    <w:next w:val="3"/>
    <w:qFormat/>
    <w:uiPriority w:val="0"/>
    <w:rPr>
      <w:rFonts w:ascii="宋体" w:hAnsi="Courier New"/>
      <w:szCs w:val="20"/>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customStyle="1" w:styleId="11">
    <w:name w:val="_Style 7"/>
    <w:basedOn w:val="1"/>
    <w:next w:val="12"/>
    <w:qFormat/>
    <w:uiPriority w:val="34"/>
    <w:pPr>
      <w:ind w:firstLine="420" w:firstLineChars="200"/>
    </w:pPr>
    <w:rPr>
      <w:rFonts w:ascii="等线" w:hAnsi="等线" w:eastAsia="等线"/>
      <w:szCs w:val="22"/>
    </w:rPr>
  </w:style>
  <w:style w:type="paragraph" w:styleId="12">
    <w:name w:val="List Paragraph"/>
    <w:basedOn w:val="1"/>
    <w:qFormat/>
    <w:uiPriority w:val="99"/>
    <w:pPr>
      <w:ind w:firstLine="420" w:firstLineChars="200"/>
    </w:pPr>
  </w:style>
  <w:style w:type="paragraph" w:customStyle="1" w:styleId="13">
    <w:name w:val="_Style 3"/>
    <w:basedOn w:val="1"/>
    <w:qFormat/>
    <w:uiPriority w:val="0"/>
    <w:pPr>
      <w:ind w:firstLine="420" w:firstLineChars="200"/>
    </w:pPr>
    <w:rPr>
      <w:rFonts w:cs="Calibri"/>
      <w:kern w:val="0"/>
      <w:sz w:val="20"/>
    </w:rPr>
  </w:style>
  <w:style w:type="paragraph" w:customStyle="1" w:styleId="14">
    <w:name w:val="Table Paragraph"/>
    <w:basedOn w:val="1"/>
    <w:qFormat/>
    <w:uiPriority w:val="0"/>
    <w:pPr>
      <w:jc w:val="left"/>
    </w:pPr>
    <w:rPr>
      <w:rFonts w:ascii="Calibri" w:hAnsi="Calibri"/>
      <w:kern w:val="0"/>
      <w:sz w:val="22"/>
      <w:szCs w:val="22"/>
      <w:lang w:eastAsia="en-US"/>
    </w:rPr>
  </w:style>
  <w:style w:type="paragraph" w:customStyle="1" w:styleId="15">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236</Words>
  <Characters>1346</Characters>
  <Lines>11</Lines>
  <Paragraphs>3</Paragraphs>
  <TotalTime>53</TotalTime>
  <ScaleCrop>false</ScaleCrop>
  <LinksUpToDate>false</LinksUpToDate>
  <CharactersWithSpaces>1579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2023-05-08T08:45:26Z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FF8E5082B975495DB0DBF14C16F2B516</vt:lpwstr>
  </property>
</Properties>
</file>