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1"/>
        <w:rPr>
          <w:rFonts w:ascii="宋体" w:hAnsi="宋体"/>
          <w:b/>
          <w:bCs/>
          <w:sz w:val="21"/>
          <w:szCs w:val="24"/>
        </w:rPr>
      </w:pPr>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pStyle w:val="11"/>
        <w:ind w:firstLine="422" w:firstLineChars="200"/>
        <w:rPr>
          <w:rFonts w:hint="eastAsia" w:ascii="宋体" w:hAnsi="宋体"/>
          <w:b/>
          <w:bCs/>
          <w:sz w:val="21"/>
          <w:szCs w:val="24"/>
        </w:rPr>
      </w:pPr>
      <w:r>
        <w:rPr>
          <w:rFonts w:hint="eastAsia" w:ascii="宋体" w:hAnsi="宋体"/>
          <w:b/>
          <w:bCs/>
          <w:sz w:val="21"/>
          <w:szCs w:val="24"/>
        </w:rPr>
        <w:t>2、本次服务采购最高限价为人民币</w:t>
      </w:r>
      <w:r>
        <w:rPr>
          <w:rFonts w:hint="eastAsia" w:ascii="宋体" w:hAnsi="宋体"/>
          <w:b/>
          <w:bCs/>
          <w:sz w:val="21"/>
          <w:szCs w:val="24"/>
          <w:lang w:eastAsia="zh-CN"/>
        </w:rPr>
        <w:t>壹拾玖万元</w:t>
      </w:r>
      <w:r>
        <w:rPr>
          <w:rFonts w:ascii="宋体" w:hAnsi="宋体"/>
          <w:b/>
          <w:bCs/>
          <w:sz w:val="21"/>
          <w:szCs w:val="24"/>
        </w:rPr>
        <w:t>整</w:t>
      </w:r>
      <w:r>
        <w:rPr>
          <w:rFonts w:hint="eastAsia" w:ascii="宋体" w:hAnsi="宋体"/>
          <w:b/>
          <w:bCs/>
          <w:sz w:val="21"/>
          <w:szCs w:val="24"/>
        </w:rPr>
        <w:t>(¥1</w:t>
      </w:r>
      <w:r>
        <w:rPr>
          <w:rFonts w:hint="eastAsia" w:ascii="宋体" w:hAnsi="宋体"/>
          <w:b/>
          <w:bCs/>
          <w:sz w:val="21"/>
          <w:szCs w:val="24"/>
          <w:lang w:val="en-US" w:eastAsia="zh-CN"/>
        </w:rPr>
        <w:t>90</w:t>
      </w:r>
      <w:r>
        <w:rPr>
          <w:rFonts w:hint="eastAsia" w:ascii="宋体" w:hAnsi="宋体"/>
          <w:b/>
          <w:bCs/>
          <w:sz w:val="21"/>
          <w:szCs w:val="24"/>
        </w:rPr>
        <w:t>000元)。</w:t>
      </w:r>
    </w:p>
    <w:p>
      <w:pPr>
        <w:pStyle w:val="11"/>
        <w:ind w:firstLine="422" w:firstLineChars="200"/>
        <w:rPr>
          <w:rFonts w:hint="eastAsia" w:ascii="宋体" w:hAnsi="宋体" w:eastAsia="宋体"/>
          <w:b/>
          <w:bCs/>
          <w:sz w:val="21"/>
          <w:szCs w:val="24"/>
          <w:highlight w:val="none"/>
          <w:lang w:val="en-US"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w:t>
      </w:r>
      <w:r>
        <w:rPr>
          <w:rFonts w:hint="default" w:ascii="Times New Roman" w:hAnsi="Times New Roman" w:eastAsia="宋体" w:cs="Times New Roman"/>
          <w:b/>
          <w:bCs/>
          <w:color w:val="auto"/>
          <w:kern w:val="0"/>
          <w:sz w:val="18"/>
          <w:szCs w:val="18"/>
        </w:rPr>
        <w:t>其他未列明行业</w:t>
      </w:r>
      <w:r>
        <w:rPr>
          <w:rFonts w:hint="eastAsia" w:ascii="宋体" w:hAnsi="宋体"/>
          <w:b/>
          <w:bCs/>
          <w:sz w:val="21"/>
          <w:szCs w:val="24"/>
          <w:highlight w:val="none"/>
          <w:lang w:eastAsia="zh-CN"/>
        </w:rPr>
        <w:t>。</w:t>
      </w:r>
    </w:p>
    <w:p>
      <w:pPr>
        <w:rPr>
          <w:rFonts w:ascii="宋体" w:hAnsi="宋体"/>
          <w:b/>
          <w:bCs/>
        </w:rPr>
      </w:pPr>
    </w:p>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项目名称：</w:t>
      </w:r>
      <w:r>
        <w:rPr>
          <w:rFonts w:hint="eastAsia" w:ascii="宋体" w:hAnsi="宋体" w:cs="Times New Roman"/>
          <w:b/>
          <w:bCs/>
          <w:kern w:val="0"/>
          <w:sz w:val="21"/>
          <w:szCs w:val="24"/>
          <w:lang w:val="en-US" w:eastAsia="zh-CN" w:bidi="ar-SA"/>
        </w:rPr>
        <w:t>电视节目融媒体碎片化服务（重）  （SQ202308-02）</w:t>
      </w:r>
    </w:p>
    <w:p>
      <w:pPr>
        <w:pStyle w:val="2"/>
        <w:jc w:val="center"/>
        <w:rPr>
          <w:b/>
          <w:sz w:val="36"/>
        </w:rPr>
      </w:pPr>
    </w:p>
    <w:tbl>
      <w:tblPr>
        <w:tblStyle w:val="14"/>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594"/>
        <w:gridCol w:w="175"/>
        <w:gridCol w:w="720"/>
        <w:gridCol w:w="645"/>
        <w:gridCol w:w="990"/>
        <w:gridCol w:w="946"/>
        <w:gridCol w:w="5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769"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名称</w:t>
            </w:r>
          </w:p>
        </w:tc>
        <w:tc>
          <w:tcPr>
            <w:tcW w:w="72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64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9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46"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462"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1769" w:type="dxa"/>
            <w:gridSpan w:val="2"/>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宋体" w:hAnsi="宋体" w:cs="宋体"/>
                <w:bCs/>
                <w:color w:val="000000"/>
                <w:kern w:val="0"/>
                <w:szCs w:val="21"/>
              </w:rPr>
              <w:t>电视节目融媒体碎片化服务</w:t>
            </w:r>
          </w:p>
        </w:tc>
        <w:tc>
          <w:tcPr>
            <w:tcW w:w="720"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645"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项</w:t>
            </w:r>
          </w:p>
        </w:tc>
        <w:tc>
          <w:tcPr>
            <w:tcW w:w="990"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cs="Times New Roman"/>
                <w:color w:val="000000"/>
                <w:kern w:val="2"/>
                <w:sz w:val="24"/>
                <w:szCs w:val="20"/>
                <w:lang w:val="en-US" w:eastAsia="zh-CN" w:bidi="ar-SA"/>
              </w:rPr>
              <w:t>190000</w:t>
            </w:r>
          </w:p>
        </w:tc>
        <w:tc>
          <w:tcPr>
            <w:tcW w:w="946"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r>
              <w:rPr>
                <w:rFonts w:hint="eastAsia" w:cs="Times New Roman"/>
                <w:color w:val="000000"/>
                <w:kern w:val="2"/>
                <w:sz w:val="24"/>
                <w:szCs w:val="20"/>
                <w:lang w:val="en-US" w:eastAsia="zh-CN" w:bidi="ar-SA"/>
              </w:rPr>
              <w:t>90000</w:t>
            </w:r>
          </w:p>
        </w:tc>
        <w:tc>
          <w:tcPr>
            <w:tcW w:w="5462" w:type="dxa"/>
            <w:vAlign w:val="center"/>
          </w:tcPr>
          <w:p>
            <w:pPr>
              <w:widowControl/>
              <w:ind w:firstLine="480" w:firstLineChars="200"/>
              <w:jc w:val="left"/>
              <w:rPr>
                <w:rFonts w:hint="eastAsia" w:ascii="Times New Roman" w:hAnsi="Times New Roman" w:eastAsia="宋体" w:cs="Times New Roman"/>
                <w:color w:val="000000"/>
                <w:kern w:val="2"/>
                <w:sz w:val="24"/>
                <w:szCs w:val="20"/>
                <w:lang w:val="en-US" w:eastAsia="zh-CN" w:bidi="ar-SA"/>
              </w:rPr>
            </w:pPr>
          </w:p>
          <w:p>
            <w:pPr>
              <w:tabs>
                <w:tab w:val="left" w:pos="180"/>
                <w:tab w:val="left" w:pos="1620"/>
              </w:tabs>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1.投标人为南宁广播电视台4套频道每日播出的自办栏目提供拆条技术服务，单日拆条整期大于16条，单日拆条时长不少于300分钟。</w:t>
            </w:r>
          </w:p>
          <w:p>
            <w:pPr>
              <w:tabs>
                <w:tab w:val="left" w:pos="180"/>
                <w:tab w:val="left" w:pos="1620"/>
              </w:tabs>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2.拆</w:t>
            </w:r>
            <w:bookmarkStart w:id="6" w:name="_GoBack"/>
            <w:bookmarkEnd w:id="6"/>
            <w:r>
              <w:rPr>
                <w:rFonts w:hint="eastAsia" w:ascii="宋体" w:hAnsi="宋体" w:cs="宋体"/>
                <w:bCs/>
                <w:color w:val="000000"/>
                <w:kern w:val="0"/>
                <w:szCs w:val="21"/>
              </w:rPr>
              <w:t>条输出节目质量为1080P。</w:t>
            </w:r>
          </w:p>
          <w:p>
            <w:pPr>
              <w:tabs>
                <w:tab w:val="left" w:pos="180"/>
                <w:tab w:val="left" w:pos="1620"/>
              </w:tabs>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3.投标人制作推送节目需满足时效性要求，</w:t>
            </w:r>
            <w:r>
              <w:rPr>
                <w:rFonts w:hint="eastAsia" w:ascii="宋体" w:hAnsi="宋体" w:cs="宋体"/>
                <w:bCs/>
                <w:color w:val="000000"/>
                <w:kern w:val="0"/>
                <w:szCs w:val="21"/>
                <w:lang w:val="en-US" w:eastAsia="zh-CN"/>
              </w:rPr>
              <w:t>新闻类</w:t>
            </w:r>
            <w:r>
              <w:rPr>
                <w:rFonts w:hint="eastAsia" w:ascii="宋体" w:hAnsi="宋体" w:cs="宋体"/>
                <w:bCs/>
                <w:color w:val="000000"/>
                <w:kern w:val="0"/>
                <w:szCs w:val="21"/>
              </w:rPr>
              <w:t>节目需在播出结束后2小时内完成推送，</w:t>
            </w:r>
            <w:r>
              <w:rPr>
                <w:rFonts w:hint="eastAsia" w:ascii="宋体" w:hAnsi="宋体" w:cs="宋体"/>
                <w:bCs/>
                <w:color w:val="000000"/>
                <w:kern w:val="0"/>
                <w:szCs w:val="21"/>
                <w:lang w:val="en-US" w:eastAsia="zh-CN"/>
              </w:rPr>
              <w:t>其他</w:t>
            </w:r>
            <w:r>
              <w:rPr>
                <w:rFonts w:hint="eastAsia" w:ascii="宋体" w:hAnsi="宋体" w:cs="宋体"/>
                <w:bCs/>
                <w:color w:val="000000"/>
                <w:kern w:val="0"/>
                <w:szCs w:val="21"/>
              </w:rPr>
              <w:t>节目需在播出结束后120-180分钟内完成推送。</w:t>
            </w:r>
          </w:p>
          <w:p>
            <w:pPr>
              <w:tabs>
                <w:tab w:val="left" w:pos="180"/>
                <w:tab w:val="left" w:pos="1620"/>
              </w:tabs>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4.投标人需按时按量满足拆条视频的传输。</w:t>
            </w:r>
          </w:p>
          <w:p>
            <w:pPr>
              <w:tabs>
                <w:tab w:val="left" w:pos="180"/>
                <w:tab w:val="left" w:pos="1620"/>
              </w:tabs>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5.整期和单条节目拆条必须保证节目的完整性和连续性，无夹帧、无黑场、无彩条、无其他和拆条节目无关的视音频信息。</w:t>
            </w:r>
          </w:p>
          <w:p>
            <w:pPr>
              <w:tabs>
                <w:tab w:val="left" w:pos="180"/>
                <w:tab w:val="left" w:pos="1620"/>
              </w:tabs>
              <w:spacing w:line="360" w:lineRule="auto"/>
              <w:jc w:val="left"/>
              <w:rPr>
                <w:rFonts w:hint="eastAsia" w:ascii="Times New Roman" w:hAnsi="Times New Roman" w:eastAsia="宋体" w:cs="Times New Roman"/>
                <w:color w:val="000000"/>
                <w:kern w:val="2"/>
                <w:sz w:val="24"/>
                <w:szCs w:val="20"/>
                <w:lang w:val="en-US" w:eastAsia="zh-CN" w:bidi="ar-SA"/>
              </w:rPr>
            </w:pPr>
            <w:r>
              <w:rPr>
                <w:rFonts w:hint="eastAsia" w:ascii="宋体" w:hAnsi="宋体" w:cs="宋体"/>
                <w:bCs/>
                <w:color w:val="000000"/>
                <w:kern w:val="0"/>
                <w:szCs w:val="21"/>
              </w:rPr>
              <w:t>6.投标人需建立内部双审核机制，保证所输出内容不存在人为操作导致的政治风险。</w:t>
            </w:r>
            <w:r>
              <w:rPr>
                <w:rFonts w:hint="eastAsia" w:ascii="宋体" w:hAnsi="宋体" w:cs="宋体"/>
                <w:bCs/>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商务</w:t>
            </w:r>
            <w:r>
              <w:rPr>
                <w:rFonts w:hint="eastAsia" w:ascii="宋体" w:hAnsi="宋体" w:cs="宋体"/>
                <w:lang w:val="en-US" w:eastAsia="zh-CN"/>
              </w:rPr>
              <w:t>要求</w:t>
            </w:r>
            <w:r>
              <w:rPr>
                <w:rFonts w:hint="eastAsia" w:ascii="宋体" w:hAnsi="宋体" w:cs="宋体"/>
              </w:rPr>
              <w:t xml:space="preserve">：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一、合同签订期</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Times New Roman" w:hAnsi="Times New Roman" w:eastAsia="宋体" w:cs="Times New Roman"/>
                <w:color w:val="000000"/>
                <w:kern w:val="2"/>
                <w:sz w:val="24"/>
                <w:szCs w:val="20"/>
                <w:lang w:val="en-US" w:eastAsia="zh-CN" w:bidi="ar-SA"/>
              </w:rPr>
            </w:pPr>
            <w:r>
              <w:rPr>
                <w:rFonts w:hint="eastAsia" w:ascii="宋体" w:hAnsi="宋体" w:cs="宋体"/>
                <w:bCs/>
                <w:color w:val="000000"/>
                <w:kern w:val="0"/>
                <w:szCs w:val="21"/>
                <w:lang w:val="en-US" w:eastAsia="zh-CN"/>
              </w:rPr>
              <w:t>自成交通知书发出之日起10个工作日内。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★二、服务期限</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default" w:ascii="Times New Roman" w:hAnsi="Times New Roman" w:eastAsia="宋体" w:cs="Times New Roman"/>
                <w:color w:val="000000"/>
                <w:kern w:val="2"/>
                <w:sz w:val="24"/>
                <w:szCs w:val="20"/>
                <w:lang w:val="en-US" w:eastAsia="zh-CN" w:bidi="ar-SA"/>
              </w:rPr>
            </w:pPr>
            <w:r>
              <w:rPr>
                <w:rFonts w:hint="eastAsia" w:ascii="宋体" w:hAnsi="宋体" w:cs="宋体"/>
                <w:bCs/>
                <w:color w:val="000000"/>
                <w:kern w:val="0"/>
                <w:szCs w:val="21"/>
                <w:lang w:val="en-US" w:eastAsia="zh-CN"/>
              </w:rPr>
              <w:t>自合同签订之日起壹年。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★三、服务要求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1、质量保证期：质量保证期 壹 年（</w:t>
            </w:r>
            <w:r>
              <w:rPr>
                <w:rFonts w:hint="eastAsia" w:ascii="宋体" w:hAnsi="宋体" w:cs="宋体"/>
                <w:color w:val="000000"/>
                <w:kern w:val="0"/>
                <w:szCs w:val="21"/>
              </w:rPr>
              <w:t>自合同签订之日起计</w:t>
            </w:r>
            <w:r>
              <w:rPr>
                <w:rFonts w:hint="eastAsia" w:ascii="宋体" w:hAnsi="宋体" w:cs="宋体"/>
                <w:bCs/>
                <w:color w:val="000000"/>
                <w:kern w:val="0"/>
                <w:szCs w:val="21"/>
                <w:lang w:val="en-US" w:eastAsia="zh-CN"/>
              </w:rPr>
              <w:t>）</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2、质保期内系统维护的范围包括：系统优化、系统的正常运行和数据维护。</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3、质保期内中标供应商免费进行业务系统完善和优化。</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4、中标供应商需对系统优化、维护所必需的开发工具、系统功能模块、插件等运维工具，均由中标供应商自行落实处理,采购人不再支付额外费用。</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5、处理问题响应时间：接到采购人处理问题通知后2个小时内到达采购人指定现场</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★四、付款方式</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本项目无预付款，合同签署后，中标供应商开具对应的增值税专用发票给采购人，采购人收到发票后十个工作日内支付全部合同款。</w:t>
            </w:r>
          </w:p>
          <w:p>
            <w:pPr>
              <w:pStyle w:val="2"/>
              <w:ind w:left="210" w:leftChars="100"/>
              <w:rPr>
                <w:rFonts w:hint="eastAsia" w:ascii="Times New Roman" w:hAnsi="Times New Roman" w:eastAsia="宋体" w:cs="Times New Roman"/>
                <w:color w:val="000000"/>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★五、其他要求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1、报价必须含以下部分，包括：</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（1）完成采购范围的全部项目内容；</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（2）必要的保险费用和各项税金；</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（3）涉及人员的报酬、各项税金等及其他国家规定相关费用；</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（4）投标人的纳税人类别和增值税率，增值税发票票种；</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（3）培训、技术支持、售后服务、更新升级等费用。</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p>
        </w:tc>
      </w:tr>
    </w:tbl>
    <w:p/>
    <w:p>
      <w:pPr>
        <w:pStyle w:val="4"/>
      </w:pPr>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rPr>
          <w:rFonts w:hint="eastAsia"/>
          <w:b/>
          <w:sz w:val="36"/>
        </w:rPr>
      </w:pPr>
      <w:r>
        <w:rPr>
          <w:rFonts w:hint="eastAsia"/>
          <w:b/>
          <w:sz w:val="36"/>
        </w:rPr>
        <w:br w:type="page"/>
      </w: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rPr>
          <w:sz w:val="28"/>
        </w:rPr>
      </w:pPr>
      <w:r>
        <w:rPr>
          <w:rFonts w:hint="eastAsia"/>
          <w:b/>
          <w:bCs/>
        </w:rPr>
        <w:t xml:space="preserve">                                    </w:t>
      </w:r>
    </w:p>
    <w:p>
      <w:pPr>
        <w:pStyle w:val="10"/>
        <w:jc w:val="center"/>
        <w:rPr>
          <w:rFonts w:ascii="Times New Roman" w:hAnsi="Times New Roman"/>
          <w:b/>
          <w:sz w:val="30"/>
          <w:szCs w:val="30"/>
        </w:rPr>
      </w:pPr>
      <w:r>
        <w:rPr>
          <w:rFonts w:hint="eastAsia" w:ascii="Times New Roman" w:hAnsi="Times New Roman"/>
          <w:b/>
          <w:sz w:val="30"/>
          <w:szCs w:val="30"/>
        </w:rPr>
        <w:t>最低评标价法</w:t>
      </w:r>
    </w:p>
    <w:p>
      <w:pPr>
        <w:pStyle w:val="10"/>
        <w:tabs>
          <w:tab w:val="left" w:pos="1935"/>
        </w:tabs>
        <w:spacing w:line="400" w:lineRule="exact"/>
        <w:ind w:firstLine="420" w:firstLineChars="200"/>
        <w:rPr>
          <w:color w:val="auto"/>
        </w:rPr>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0"/>
        <w:tabs>
          <w:tab w:val="left" w:pos="1935"/>
        </w:tabs>
        <w:spacing w:line="400" w:lineRule="exact"/>
        <w:ind w:firstLine="420" w:firstLineChars="200"/>
        <w:rPr>
          <w:color w:val="auto"/>
          <w:highlight w:val="none"/>
        </w:rPr>
      </w:pPr>
      <w:r>
        <w:rPr>
          <w:rFonts w:hint="eastAsia"/>
          <w:color w:val="auto"/>
          <w:highlight w:val="none"/>
          <w:lang w:val="en-US" w:eastAsia="zh-CN"/>
        </w:rPr>
        <w:t xml:space="preserve"> </w:t>
      </w:r>
      <w:r>
        <w:rPr>
          <w:b/>
          <w:bCs/>
          <w:color w:val="auto"/>
          <w:highlight w:val="none"/>
        </w:rPr>
        <w:t>评标价</w:t>
      </w:r>
      <w:r>
        <w:rPr>
          <w:rFonts w:hint="eastAsia"/>
          <w:b/>
          <w:bCs/>
          <w:color w:val="auto"/>
          <w:highlight w:val="none"/>
        </w:rPr>
        <w:t>政府采购政策性扣除</w:t>
      </w:r>
      <w:r>
        <w:rPr>
          <w:rFonts w:hint="eastAsia"/>
          <w:color w:val="auto"/>
          <w:highlight w:val="none"/>
        </w:rPr>
        <w:t>（如属于专门面向中小型企业采购项目，不再进行政策扣除）。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.评标价</w:t>
      </w:r>
      <w:r>
        <w:rPr>
          <w:rFonts w:hint="eastAsia" w:ascii="宋体" w:hAnsi="宋体" w:cs="宋体"/>
          <w:color w:val="000000"/>
          <w:szCs w:val="21"/>
        </w:rPr>
        <w:t>为供应商的</w:t>
      </w:r>
      <w:r>
        <w:rPr>
          <w:rFonts w:hint="eastAsia" w:ascii="宋体" w:hAnsi="宋体" w:cs="宋体"/>
          <w:color w:val="000000"/>
          <w:szCs w:val="21"/>
          <w:lang w:val="en-US" w:eastAsia="zh-CN"/>
        </w:rPr>
        <w:t>投标</w:t>
      </w:r>
      <w:r>
        <w:rPr>
          <w:rFonts w:hint="eastAsia" w:ascii="宋体" w:hAnsi="宋体" w:cs="宋体"/>
          <w:color w:val="000000"/>
          <w:szCs w:val="21"/>
        </w:rPr>
        <w:t>报价进行政策性扣除后的价格，</w:t>
      </w:r>
      <w:r>
        <w:rPr>
          <w:rFonts w:hint="eastAsia" w:ascii="宋体" w:hAnsi="宋体" w:cs="宋体"/>
          <w:color w:val="000000"/>
          <w:szCs w:val="21"/>
          <w:lang w:eastAsia="zh-CN"/>
        </w:rPr>
        <w:t>评标价</w:t>
      </w:r>
      <w:r>
        <w:rPr>
          <w:rFonts w:hint="eastAsia" w:ascii="宋体" w:hAnsi="宋体" w:cs="宋体"/>
          <w:color w:val="000000"/>
          <w:szCs w:val="21"/>
        </w:rPr>
        <w:t>只是作为评审时使用。最终成交供应商的成交金额等于</w:t>
      </w:r>
      <w:r>
        <w:rPr>
          <w:rFonts w:hint="eastAsia" w:ascii="宋体" w:hAnsi="宋体" w:cs="宋体"/>
          <w:color w:val="000000"/>
          <w:szCs w:val="21"/>
          <w:lang w:val="en-US" w:eastAsia="zh-CN"/>
        </w:rPr>
        <w:t>投标</w:t>
      </w:r>
      <w:r>
        <w:rPr>
          <w:rFonts w:hint="eastAsia" w:ascii="宋体" w:hAnsi="宋体" w:cs="宋体"/>
          <w:color w:val="000000"/>
          <w:szCs w:val="21"/>
        </w:rPr>
        <w:t>报价（如有修正，以确认修正后的</w:t>
      </w:r>
      <w:r>
        <w:rPr>
          <w:rFonts w:hint="eastAsia" w:ascii="宋体" w:hAnsi="宋体" w:cs="宋体"/>
          <w:color w:val="000000"/>
          <w:szCs w:val="21"/>
          <w:lang w:val="en-US" w:eastAsia="zh-CN"/>
        </w:rPr>
        <w:t>投标</w:t>
      </w:r>
      <w:r>
        <w:rPr>
          <w:rFonts w:hint="eastAsia" w:ascii="宋体" w:hAnsi="宋体" w:cs="宋体"/>
          <w:color w:val="000000"/>
          <w:szCs w:val="21"/>
        </w:rPr>
        <w:t>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根据《政府采购促进中小企业发展管理办法》（财库〔2020〕46号）的规定，供应商在其响应文件中提供《中小企业声明函》，</w:t>
      </w:r>
      <w:r>
        <w:rPr>
          <w:rFonts w:hint="eastAsia" w:ascii="宋体" w:hAnsi="宋体" w:cs="宋体"/>
          <w:bCs/>
          <w:color w:val="000000"/>
          <w:szCs w:val="21"/>
        </w:rPr>
        <w:t>且其竞标全部货物均由小微企业提供的</w:t>
      </w:r>
      <w:r>
        <w:rPr>
          <w:rFonts w:hint="eastAsia" w:ascii="宋体" w:hAnsi="宋体" w:cs="宋体"/>
          <w:color w:val="000000"/>
          <w:szCs w:val="21"/>
        </w:rPr>
        <w:t>，</w:t>
      </w:r>
      <w:r>
        <w:rPr>
          <w:rFonts w:hint="eastAsia" w:ascii="宋体" w:hAnsi="宋体" w:cs="宋体"/>
          <w:bCs/>
          <w:color w:val="000000"/>
          <w:szCs w:val="21"/>
        </w:rPr>
        <w:t>对供应商的竞标报价给予20%的扣除，扣除后的价格为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4% </w:t>
      </w:r>
      <w:r>
        <w:rPr>
          <w:rFonts w:hint="eastAsia" w:ascii="宋体" w:hAnsi="宋体" w:cs="宋体"/>
          <w:bCs/>
          <w:color w:val="000000"/>
          <w:szCs w:val="21"/>
        </w:rPr>
        <w:t>（范围为4%-6%） 的扣除，用扣除后的价格参加评审，扣除后的价格为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w:t>
      </w:r>
      <w:r>
        <w:rPr>
          <w:rFonts w:hint="eastAsia" w:ascii="宋体" w:hAnsi="宋体" w:cs="宋体"/>
          <w:bCs/>
          <w:color w:val="000000"/>
          <w:szCs w:val="21"/>
          <w:u w:val="single"/>
        </w:rPr>
        <w:t xml:space="preserve">4% </w:t>
      </w:r>
      <w:r>
        <w:rPr>
          <w:rFonts w:hint="eastAsia" w:ascii="宋体" w:hAnsi="宋体" w:cs="宋体"/>
          <w:bCs/>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pPr>
      <w:r>
        <w:rPr>
          <w:rFonts w:hint="eastAsia" w:ascii="宋体" w:hAnsi="宋体" w:cs="宋体"/>
          <w:color w:val="000000"/>
        </w:rPr>
        <w:t>5</w:t>
      </w:r>
      <w:r>
        <w:rPr>
          <w:rFonts w:hint="eastAsia" w:ascii="宋体" w:hAnsi="宋体" w:cs="宋体"/>
          <w:color w:val="000000"/>
          <w:lang w:eastAsia="zh-CN"/>
        </w:rPr>
        <w:t>.</w:t>
      </w:r>
      <w:r>
        <w:rPr>
          <w:rFonts w:hint="eastAsia" w:ascii="宋体" w:hAnsi="宋体" w:cs="宋体"/>
          <w:color w:val="000000"/>
        </w:rPr>
        <w:t>除上述情况外，</w:t>
      </w:r>
      <w:r>
        <w:rPr>
          <w:rFonts w:hint="eastAsia" w:ascii="宋体" w:hAnsi="宋体" w:cs="宋体"/>
          <w:color w:val="000000"/>
          <w:lang w:eastAsia="zh-CN"/>
        </w:rPr>
        <w:t>评标价</w:t>
      </w:r>
      <w:r>
        <w:rPr>
          <w:rFonts w:hint="eastAsia" w:ascii="宋体" w:hAnsi="宋体" w:cs="宋体"/>
          <w:color w:val="000000"/>
        </w:rPr>
        <w:t>＝最后报价。</w:t>
      </w:r>
    </w:p>
    <w:p>
      <w:pPr>
        <w:pStyle w:val="10"/>
        <w:spacing w:line="440" w:lineRule="exact"/>
        <w:jc w:val="center"/>
        <w:rPr>
          <w:rFonts w:ascii="Times New Roman" w:hAnsi="Times New Roman"/>
          <w:b/>
          <w:sz w:val="36"/>
        </w:rPr>
      </w:pPr>
    </w:p>
    <w:p>
      <w:pPr>
        <w:pStyle w:val="10"/>
        <w:spacing w:line="440" w:lineRule="exact"/>
        <w:jc w:val="center"/>
        <w:rPr>
          <w:rFonts w:hint="eastAsia" w:ascii="Times New Roman" w:hAnsi="Times New Roman"/>
          <w:b/>
          <w:sz w:val="36"/>
        </w:rPr>
      </w:pPr>
      <w:bookmarkStart w:id="2" w:name="_Toc532545044"/>
    </w:p>
    <w:p>
      <w:pPr>
        <w:pStyle w:val="10"/>
        <w:spacing w:line="440" w:lineRule="exact"/>
        <w:jc w:val="center"/>
        <w:rPr>
          <w:rFonts w:hint="eastAsia" w:ascii="Times New Roman" w:hAnsi="Times New Roman"/>
          <w:b/>
          <w:sz w:val="36"/>
        </w:rPr>
      </w:pPr>
    </w:p>
    <w:p>
      <w:pPr>
        <w:pStyle w:val="10"/>
        <w:spacing w:line="440" w:lineRule="exact"/>
        <w:jc w:val="center"/>
        <w:rPr>
          <w:rFonts w:hint="eastAsia" w:ascii="Times New Roman" w:hAnsi="Times New Roman"/>
          <w:b/>
          <w:sz w:val="36"/>
        </w:rPr>
      </w:pPr>
    </w:p>
    <w:p>
      <w:pPr>
        <w:pStyle w:val="10"/>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677"/>
      <w:bookmarkStart w:id="5" w:name="_Toc254970536"/>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6"/>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2"/>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3"/>
        <w:ind w:firstLine="210" w:firstLineChars="100"/>
        <w:rPr>
          <w:rFonts w:hint="default"/>
          <w:lang w:val="en-US" w:eastAsia="zh-CN"/>
        </w:rPr>
      </w:pPr>
      <w:r>
        <w:rPr>
          <w:rFonts w:hint="eastAsia" w:hAnsi="宋体" w:cs="Times New Roman"/>
          <w:kern w:val="2"/>
          <w:sz w:val="21"/>
          <w:szCs w:val="21"/>
          <w:lang w:val="en-US" w:eastAsia="zh-CN" w:bidi="ar-SA"/>
        </w:rPr>
        <w:t>3.售后服务</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4"/>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17"/>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3"/>
      </w:pPr>
    </w:p>
    <w:p>
      <w:pPr>
        <w:pStyle w:val="3"/>
      </w:pPr>
    </w:p>
    <w:p>
      <w:pPr>
        <w:pStyle w:val="3"/>
      </w:pPr>
    </w:p>
    <w:p>
      <w:pPr>
        <w:pStyle w:val="3"/>
      </w:pPr>
    </w:p>
    <w:p>
      <w:pPr>
        <w:pStyle w:val="3"/>
      </w:pPr>
    </w:p>
    <w:p>
      <w:pPr>
        <w:pStyle w:val="3"/>
      </w:pPr>
    </w:p>
    <w:p>
      <w:pPr>
        <w:pStyle w:val="3"/>
      </w:pPr>
    </w:p>
    <w:p>
      <w:pPr>
        <w:pStyle w:val="3"/>
      </w:pPr>
    </w:p>
    <w:p>
      <w:pPr>
        <w:pStyle w:val="10"/>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0"/>
        <w:spacing w:beforeLines="0" w:afterLines="0" w:line="440" w:lineRule="exact"/>
        <w:ind w:firstLine="420" w:firstLineChars="200"/>
        <w:rPr>
          <w:rFonts w:hint="default"/>
          <w:color w:val="auto"/>
          <w:sz w:val="21"/>
          <w:szCs w:val="20"/>
          <w:highlight w:val="none"/>
        </w:rPr>
      </w:pPr>
    </w:p>
    <w:p>
      <w:pPr>
        <w:pStyle w:val="10"/>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0"/>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0"/>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0"/>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7"/>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7"/>
        <w:spacing w:line="240" w:lineRule="auto"/>
        <w:ind w:firstLine="404" w:firstLineChars="200"/>
        <w:rPr>
          <w:rFonts w:hint="default" w:ascii="Times New Roman" w:hAnsi="Times New Roman" w:eastAsia="宋体" w:cs="Times New Roman"/>
          <w:color w:val="auto"/>
          <w:sz w:val="21"/>
          <w:szCs w:val="21"/>
          <w:highlight w:val="none"/>
        </w:rPr>
      </w:pPr>
    </w:p>
    <w:p>
      <w:pPr>
        <w:pStyle w:val="2"/>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2"/>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2"/>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2"/>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0"/>
        <w:spacing w:line="360" w:lineRule="auto"/>
        <w:ind w:firstLine="420" w:firstLineChars="200"/>
        <w:rPr>
          <w:rFonts w:hint="default" w:ascii="Times New Roman" w:hAnsi="Times New Roman" w:eastAsia="宋体" w:cs="Times New Roman"/>
          <w:color w:val="auto"/>
          <w:szCs w:val="21"/>
          <w:highlight w:val="none"/>
        </w:rPr>
      </w:pP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4"/>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2A1E10D9"/>
    <w:rsid w:val="00D9637F"/>
    <w:rsid w:val="03215C6E"/>
    <w:rsid w:val="04EB626B"/>
    <w:rsid w:val="05A33157"/>
    <w:rsid w:val="07AC73B9"/>
    <w:rsid w:val="093A7CD7"/>
    <w:rsid w:val="0B042AF3"/>
    <w:rsid w:val="0FB21319"/>
    <w:rsid w:val="128D0FAD"/>
    <w:rsid w:val="156148A2"/>
    <w:rsid w:val="167A192F"/>
    <w:rsid w:val="18295812"/>
    <w:rsid w:val="184365B4"/>
    <w:rsid w:val="1AE05C4C"/>
    <w:rsid w:val="1D093997"/>
    <w:rsid w:val="1F6A6A21"/>
    <w:rsid w:val="1FD9566D"/>
    <w:rsid w:val="26122A2E"/>
    <w:rsid w:val="295D1240"/>
    <w:rsid w:val="29903251"/>
    <w:rsid w:val="2A1E10D9"/>
    <w:rsid w:val="2C0B12BB"/>
    <w:rsid w:val="2C132439"/>
    <w:rsid w:val="2D697595"/>
    <w:rsid w:val="2D9A6C2B"/>
    <w:rsid w:val="2D9D5D07"/>
    <w:rsid w:val="3343509B"/>
    <w:rsid w:val="36BC581B"/>
    <w:rsid w:val="379478DD"/>
    <w:rsid w:val="379904DE"/>
    <w:rsid w:val="3A2068D8"/>
    <w:rsid w:val="3B232AC9"/>
    <w:rsid w:val="3B470344"/>
    <w:rsid w:val="3FD553CB"/>
    <w:rsid w:val="40AF0957"/>
    <w:rsid w:val="44345DAC"/>
    <w:rsid w:val="446858A0"/>
    <w:rsid w:val="45121FCC"/>
    <w:rsid w:val="46B54148"/>
    <w:rsid w:val="46E2098A"/>
    <w:rsid w:val="49091651"/>
    <w:rsid w:val="4A3F425C"/>
    <w:rsid w:val="4DD20D99"/>
    <w:rsid w:val="4E3F26A3"/>
    <w:rsid w:val="502B0E52"/>
    <w:rsid w:val="511A0E3B"/>
    <w:rsid w:val="52C6328A"/>
    <w:rsid w:val="536058F7"/>
    <w:rsid w:val="61783DB1"/>
    <w:rsid w:val="6516685D"/>
    <w:rsid w:val="68AB2703"/>
    <w:rsid w:val="6AA3681D"/>
    <w:rsid w:val="6C7608AE"/>
    <w:rsid w:val="6C7A1518"/>
    <w:rsid w:val="6CB206CD"/>
    <w:rsid w:val="72CA0D08"/>
    <w:rsid w:val="73772751"/>
    <w:rsid w:val="739F177E"/>
    <w:rsid w:val="7696020F"/>
    <w:rsid w:val="79733675"/>
    <w:rsid w:val="7AFD365A"/>
    <w:rsid w:val="7B932DAA"/>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kern w:val="0"/>
      <w:sz w:val="24"/>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Normal Indent"/>
    <w:basedOn w:val="1"/>
    <w:qFormat/>
    <w:uiPriority w:val="0"/>
    <w:pPr>
      <w:widowControl/>
      <w:spacing w:line="360" w:lineRule="auto"/>
      <w:ind w:firstLine="420"/>
      <w:jc w:val="left"/>
    </w:pPr>
    <w:rPr>
      <w:rFonts w:ascii="宋体"/>
      <w:kern w:val="0"/>
      <w:szCs w:val="20"/>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qFormat/>
    <w:uiPriority w:val="0"/>
    <w:pPr>
      <w:ind w:left="100" w:leftChars="200" w:hanging="200" w:hangingChars="200"/>
    </w:pPr>
    <w:rPr>
      <w:sz w:val="28"/>
    </w:rPr>
  </w:style>
  <w:style w:type="paragraph" w:styleId="10">
    <w:name w:val="Plain Text"/>
    <w:basedOn w:val="1"/>
    <w:next w:val="5"/>
    <w:qFormat/>
    <w:uiPriority w:val="0"/>
    <w:rPr>
      <w:rFonts w:ascii="宋体" w:hAnsi="Courier New"/>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Body Text First Indent"/>
    <w:basedOn w:val="2"/>
    <w:next w:val="1"/>
    <w:qFormat/>
    <w:uiPriority w:val="0"/>
    <w:pPr>
      <w:ind w:firstLine="420" w:firstLineChars="100"/>
    </w:pPr>
    <w:rPr>
      <w:rFonts w:ascii="宋体" w:hAnsi="宋体" w:eastAsia="宋体" w:cs="Times New Roman"/>
      <w:szCs w:val="20"/>
    </w:rPr>
  </w:style>
  <w:style w:type="paragraph" w:styleId="13">
    <w:name w:val="Body Text First Indent 2"/>
    <w:basedOn w:val="7"/>
    <w:next w:val="12"/>
    <w:qFormat/>
    <w:uiPriority w:val="99"/>
    <w:pPr>
      <w:spacing w:line="460" w:lineRule="exact"/>
      <w:ind w:firstLine="420" w:firstLineChars="200"/>
    </w:pPr>
    <w:rPr>
      <w:rFonts w:ascii="Calibri" w:hAnsi="Calibri" w:eastAsia="宋体" w:cs="Times New Roman"/>
      <w:spacing w:val="0"/>
      <w:sz w:val="21"/>
      <w:szCs w:val="22"/>
    </w:rPr>
  </w:style>
  <w:style w:type="paragraph" w:customStyle="1" w:styleId="16">
    <w:name w:val="表名称"/>
    <w:basedOn w:val="6"/>
    <w:qFormat/>
    <w:uiPriority w:val="0"/>
    <w:pPr>
      <w:numPr>
        <w:ilvl w:val="0"/>
        <w:numId w:val="1"/>
      </w:numPr>
      <w:tabs>
        <w:tab w:val="left" w:pos="360"/>
      </w:tabs>
      <w:spacing w:before="120" w:after="120"/>
      <w:ind w:left="0" w:firstLine="0"/>
      <w:jc w:val="center"/>
    </w:pPr>
    <w:rPr>
      <w:rFonts w:ascii="Calibri" w:hAnsi="Calibri"/>
    </w:rPr>
  </w:style>
  <w:style w:type="paragraph" w:customStyle="1" w:styleId="17">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6388</Words>
  <Characters>7104</Characters>
  <Lines>0</Lines>
  <Paragraphs>0</Paragraphs>
  <TotalTime>5</TotalTime>
  <ScaleCrop>false</ScaleCrop>
  <LinksUpToDate>false</LinksUpToDate>
  <CharactersWithSpaces>8275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2023-09-01T08:37:36Z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56DF4E6344D0429188F1CE564A51EBF5_13</vt:lpwstr>
  </property>
</Properties>
</file>