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0"/>
        <w:rPr>
          <w:rFonts w:hint="eastAsia" w:ascii="宋体" w:hAnsi="宋体"/>
          <w:b/>
          <w:bCs/>
          <w:sz w:val="21"/>
          <w:szCs w:val="24"/>
        </w:rPr>
      </w:pPr>
      <w:r>
        <w:rPr>
          <w:rFonts w:hint="eastAsia" w:ascii="宋体" w:hAnsi="宋体"/>
          <w:b/>
          <w:bCs/>
          <w:sz w:val="21"/>
          <w:szCs w:val="24"/>
        </w:rPr>
        <w:t>说明：</w:t>
      </w:r>
    </w:p>
    <w:p>
      <w:pPr>
        <w:pStyle w:val="10"/>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需求一览表中标注★号的部分为实质性要求和条件。</w:t>
      </w:r>
    </w:p>
    <w:p>
      <w:pPr>
        <w:pStyle w:val="10"/>
        <w:ind w:firstLine="422" w:firstLineChars="200"/>
        <w:rPr>
          <w:rFonts w:hint="eastAsia"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u w:val="none"/>
          <w:lang w:eastAsia="zh-CN"/>
        </w:rPr>
        <w:t>肆拾玖万玖仟玖佰</w:t>
      </w:r>
      <w:r>
        <w:rPr>
          <w:rFonts w:hint="eastAsia" w:ascii="宋体" w:hAnsi="宋体"/>
          <w:b/>
          <w:bCs/>
          <w:sz w:val="21"/>
          <w:szCs w:val="24"/>
          <w:u w:val="none"/>
        </w:rPr>
        <w:t>元</w:t>
      </w:r>
      <w:r>
        <w:rPr>
          <w:rFonts w:hint="eastAsia" w:ascii="宋体" w:hAnsi="宋体"/>
          <w:b/>
          <w:bCs/>
          <w:sz w:val="21"/>
          <w:szCs w:val="24"/>
        </w:rPr>
        <w:t>(¥499900元)。</w:t>
      </w:r>
    </w:p>
    <w:p>
      <w:pPr>
        <w:pStyle w:val="10"/>
        <w:ind w:firstLine="422" w:firstLineChars="200"/>
        <w:rPr>
          <w:rFonts w:hint="eastAsia" w:ascii="宋体" w:hAnsi="宋体"/>
          <w:b/>
          <w:bCs/>
          <w:sz w:val="21"/>
          <w:szCs w:val="24"/>
          <w:highlight w:val="none"/>
          <w:lang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采购标的对应的中小企业划分标准所属行业：软件和信息技术服务业</w:t>
      </w:r>
      <w:r>
        <w:rPr>
          <w:rFonts w:hint="eastAsia" w:ascii="宋体" w:hAnsi="宋体"/>
          <w:b/>
          <w:bCs/>
          <w:sz w:val="21"/>
          <w:szCs w:val="24"/>
          <w:highlight w:val="none"/>
          <w:lang w:eastAsia="zh-CN"/>
        </w:rPr>
        <w:t>。</w:t>
      </w:r>
    </w:p>
    <w:p>
      <w:pPr>
        <w:pStyle w:val="10"/>
        <w:ind w:firstLine="422" w:firstLineChars="200"/>
        <w:rPr>
          <w:rFonts w:hint="eastAsia" w:ascii="宋体" w:hAnsi="宋体"/>
          <w:b/>
          <w:bCs/>
          <w:sz w:val="21"/>
          <w:szCs w:val="24"/>
          <w:highlight w:val="none"/>
          <w:lang w:eastAsia="zh-CN"/>
        </w:rPr>
      </w:pPr>
    </w:p>
    <w:p>
      <w:pPr>
        <w:jc w:val="left"/>
        <w:rPr>
          <w:rFonts w:hint="eastAsia" w:ascii="宋体" w:hAnsi="宋体" w:eastAsia="宋体"/>
          <w:b/>
          <w:bCs/>
          <w:kern w:val="0"/>
          <w:lang w:eastAsia="zh-CN"/>
        </w:rPr>
      </w:pPr>
      <w:r>
        <w:rPr>
          <w:rFonts w:hint="eastAsia" w:ascii="宋体" w:hAnsi="宋体"/>
          <w:b/>
          <w:bCs/>
          <w:kern w:val="0"/>
        </w:rPr>
        <w:t>项目名称：</w:t>
      </w:r>
      <w:bookmarkStart w:id="6" w:name="_GoBack"/>
      <w:r>
        <w:rPr>
          <w:rFonts w:hint="eastAsia" w:ascii="宋体" w:hAnsi="宋体"/>
          <w:b/>
          <w:bCs/>
          <w:kern w:val="0"/>
        </w:rPr>
        <w:t>人工智能内容审核系统采购</w:t>
      </w:r>
      <w:r>
        <w:rPr>
          <w:rFonts w:hint="eastAsia" w:ascii="宋体" w:hAnsi="宋体"/>
          <w:b/>
          <w:bCs/>
          <w:kern w:val="0"/>
          <w:lang w:eastAsia="zh-CN"/>
        </w:rPr>
        <w:t>（CGSQ-FY202401240018）</w:t>
      </w:r>
      <w:bookmarkEnd w:id="6"/>
    </w:p>
    <w:p>
      <w:pPr>
        <w:pStyle w:val="10"/>
        <w:ind w:firstLine="422" w:firstLineChars="200"/>
        <w:rPr>
          <w:rFonts w:hint="eastAsia" w:ascii="宋体" w:hAnsi="宋体"/>
          <w:b/>
          <w:bCs/>
          <w:sz w:val="21"/>
          <w:szCs w:val="24"/>
          <w:highlight w:val="none"/>
          <w:lang w:eastAsia="zh-CN"/>
        </w:rPr>
      </w:pPr>
    </w:p>
    <w:tbl>
      <w:tblPr>
        <w:tblStyle w:val="13"/>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720"/>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color w:val="000000"/>
                <w:sz w:val="24"/>
                <w:szCs w:val="20"/>
              </w:rPr>
            </w:pPr>
            <w:r>
              <w:rPr>
                <w:rFonts w:hint="eastAsia"/>
                <w:color w:val="000000"/>
                <w:sz w:val="24"/>
                <w:szCs w:val="20"/>
              </w:rPr>
              <w:t>1</w:t>
            </w:r>
          </w:p>
        </w:tc>
        <w:tc>
          <w:tcPr>
            <w:tcW w:w="1769" w:type="dxa"/>
            <w:gridSpan w:val="2"/>
            <w:vAlign w:val="center"/>
          </w:tcPr>
          <w:p>
            <w:pPr>
              <w:tabs>
                <w:tab w:val="left" w:pos="180"/>
                <w:tab w:val="left" w:pos="1620"/>
              </w:tabs>
              <w:spacing w:line="360" w:lineRule="auto"/>
              <w:jc w:val="center"/>
              <w:rPr>
                <w:color w:val="000000"/>
                <w:sz w:val="24"/>
                <w:szCs w:val="20"/>
              </w:rPr>
            </w:pPr>
            <w:r>
              <w:rPr>
                <w:rFonts w:hint="eastAsia" w:ascii="宋体" w:hAnsi="宋体"/>
                <w:b/>
                <w:bCs/>
                <w:kern w:val="0"/>
              </w:rPr>
              <w:t>人工智能内容审核系统采购</w:t>
            </w:r>
          </w:p>
        </w:tc>
        <w:tc>
          <w:tcPr>
            <w:tcW w:w="720" w:type="dxa"/>
            <w:vAlign w:val="center"/>
          </w:tcPr>
          <w:p>
            <w:pPr>
              <w:tabs>
                <w:tab w:val="left" w:pos="180"/>
                <w:tab w:val="left" w:pos="1620"/>
              </w:tabs>
              <w:spacing w:line="360" w:lineRule="auto"/>
              <w:jc w:val="center"/>
              <w:rPr>
                <w:color w:val="000000"/>
                <w:sz w:val="24"/>
                <w:szCs w:val="20"/>
              </w:rPr>
            </w:pPr>
            <w:r>
              <w:rPr>
                <w:rFonts w:hint="eastAsia"/>
                <w:color w:val="000000"/>
                <w:sz w:val="24"/>
                <w:szCs w:val="20"/>
              </w:rPr>
              <w:t>1</w:t>
            </w:r>
          </w:p>
        </w:tc>
        <w:tc>
          <w:tcPr>
            <w:tcW w:w="645" w:type="dxa"/>
            <w:vAlign w:val="center"/>
          </w:tcPr>
          <w:p>
            <w:pPr>
              <w:tabs>
                <w:tab w:val="left" w:pos="180"/>
                <w:tab w:val="left" w:pos="1620"/>
              </w:tabs>
              <w:spacing w:line="360" w:lineRule="auto"/>
              <w:jc w:val="center"/>
              <w:rPr>
                <w:color w:val="000000"/>
                <w:sz w:val="24"/>
                <w:szCs w:val="20"/>
              </w:rPr>
            </w:pPr>
            <w:r>
              <w:rPr>
                <w:rFonts w:hint="eastAsia"/>
                <w:color w:val="000000"/>
                <w:sz w:val="24"/>
                <w:szCs w:val="20"/>
              </w:rPr>
              <w:t>项</w:t>
            </w:r>
          </w:p>
        </w:tc>
        <w:tc>
          <w:tcPr>
            <w:tcW w:w="99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499900</w:t>
            </w:r>
          </w:p>
        </w:tc>
        <w:tc>
          <w:tcPr>
            <w:tcW w:w="946"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499900</w:t>
            </w:r>
          </w:p>
        </w:tc>
        <w:tc>
          <w:tcPr>
            <w:tcW w:w="5462" w:type="dxa"/>
            <w:vAlign w:val="center"/>
          </w:tcPr>
          <w:p>
            <w:pPr>
              <w:widowControl/>
              <w:numPr>
                <w:ilvl w:val="0"/>
                <w:numId w:val="2"/>
              </w:numPr>
              <w:jc w:val="left"/>
              <w:rPr>
                <w:rFonts w:hint="eastAsia" w:ascii="宋体" w:hAnsi="宋体" w:eastAsia="宋体" w:cs="宋体"/>
                <w:b/>
                <w:bCs/>
                <w:color w:val="auto"/>
                <w:sz w:val="24"/>
                <w:szCs w:val="20"/>
              </w:rPr>
            </w:pPr>
            <w:r>
              <w:rPr>
                <w:rFonts w:hint="eastAsia"/>
                <w:color w:val="000000"/>
                <w:sz w:val="24"/>
                <w:szCs w:val="20"/>
              </w:rPr>
              <w:t>硬件设备：</w:t>
            </w:r>
            <w:r>
              <w:rPr>
                <w:rFonts w:hint="eastAsia" w:ascii="宋体" w:hAnsi="宋体" w:eastAsia="宋体" w:cs="宋体"/>
                <w:b/>
                <w:bCs/>
                <w:color w:val="auto"/>
                <w:sz w:val="24"/>
                <w:szCs w:val="20"/>
              </w:rPr>
              <w:t>要求配置高性能AI运算服务器一台</w:t>
            </w:r>
            <w:r>
              <w:rPr>
                <w:rFonts w:hint="eastAsia" w:ascii="宋体" w:hAnsi="宋体" w:eastAsia="宋体" w:cs="宋体"/>
                <w:b/>
                <w:bCs/>
                <w:color w:val="auto"/>
                <w:sz w:val="24"/>
                <w:szCs w:val="20"/>
                <w:lang w:eastAsia="zh-CN"/>
              </w:rPr>
              <w:t>。</w:t>
            </w:r>
          </w:p>
          <w:p>
            <w:pPr>
              <w:pStyle w:val="18"/>
            </w:pPr>
            <w:r>
              <w:rPr>
                <w:rFonts w:hint="eastAsia"/>
              </w:rPr>
              <w:t>尺寸：</w:t>
            </w:r>
            <w:r>
              <w:rPr>
                <w:rFonts w:hint="eastAsia"/>
                <w:lang w:val="en-US" w:eastAsia="zh-CN"/>
              </w:rPr>
              <w:t>要求采用机架式机箱，尺寸不大于4U</w:t>
            </w:r>
            <w:r>
              <w:rPr>
                <w:rFonts w:hint="eastAsia"/>
              </w:rPr>
              <w:t>；</w:t>
            </w:r>
          </w:p>
          <w:p>
            <w:pPr>
              <w:pStyle w:val="18"/>
            </w:pPr>
            <w:r>
              <w:rPr>
                <w:rFonts w:hint="eastAsia"/>
                <w:lang w:val="en-US" w:eastAsia="zh-CN"/>
              </w:rPr>
              <w:t>要求配置不低于两个</w:t>
            </w:r>
            <w:r>
              <w:rPr>
                <w:rFonts w:hint="eastAsia"/>
              </w:rPr>
              <w:t>英特尔至强</w:t>
            </w:r>
            <w:r>
              <w:rPr>
                <w:rFonts w:hint="eastAsia"/>
                <w:lang w:val="en-US" w:eastAsia="zh-CN"/>
              </w:rPr>
              <w:t>处理器或同类型以上处理器</w:t>
            </w:r>
            <w:r>
              <w:rPr>
                <w:rFonts w:hint="eastAsia"/>
              </w:rPr>
              <w:t>；</w:t>
            </w:r>
          </w:p>
          <w:p>
            <w:pPr>
              <w:pStyle w:val="18"/>
            </w:pPr>
            <w:r>
              <w:rPr>
                <w:rFonts w:hint="eastAsia"/>
                <w:lang w:val="en-US" w:eastAsia="zh-CN"/>
              </w:rPr>
              <w:t>要求配置不低于</w:t>
            </w:r>
            <w:r>
              <w:rPr>
                <w:rFonts w:hint="eastAsia"/>
              </w:rPr>
              <w:t>英伟达RTX</w:t>
            </w:r>
            <w:r>
              <w:t>3090</w:t>
            </w:r>
            <w:r>
              <w:rPr>
                <w:rFonts w:hint="eastAsia"/>
                <w:lang w:val="en-US" w:eastAsia="zh-CN"/>
              </w:rPr>
              <w:t>显卡或同类型以上显卡</w:t>
            </w:r>
            <w:r>
              <w:rPr>
                <w:rFonts w:hint="eastAsia"/>
              </w:rPr>
              <w:t>；</w:t>
            </w:r>
          </w:p>
          <w:p>
            <w:pPr>
              <w:pStyle w:val="18"/>
            </w:pPr>
            <w:r>
              <w:rPr>
                <w:rFonts w:hint="eastAsia"/>
                <w:lang w:val="en-US" w:eastAsia="zh-CN"/>
              </w:rPr>
              <w:t>要求</w:t>
            </w:r>
            <w:r>
              <w:rPr>
                <w:rFonts w:hint="eastAsia"/>
              </w:rPr>
              <w:t>内存</w:t>
            </w:r>
            <w:r>
              <w:rPr>
                <w:rFonts w:hint="eastAsia"/>
                <w:lang w:val="en-US" w:eastAsia="zh-CN"/>
              </w:rPr>
              <w:t>配置不低于</w:t>
            </w:r>
            <w:r>
              <w:t>128</w:t>
            </w:r>
            <w:r>
              <w:rPr>
                <w:rFonts w:hint="eastAsia"/>
              </w:rPr>
              <w:t>GB；</w:t>
            </w:r>
          </w:p>
          <w:p>
            <w:pPr>
              <w:pStyle w:val="18"/>
              <w:rPr>
                <w:rFonts w:hint="eastAsia"/>
              </w:rPr>
            </w:pPr>
            <w:r>
              <w:rPr>
                <w:rFonts w:hint="eastAsia"/>
                <w:lang w:val="en-US" w:eastAsia="zh-CN"/>
              </w:rPr>
              <w:t>要求系统</w:t>
            </w:r>
            <w:r>
              <w:rPr>
                <w:rFonts w:hint="eastAsia"/>
              </w:rPr>
              <w:t>存储</w:t>
            </w:r>
            <w:r>
              <w:rPr>
                <w:rFonts w:hint="eastAsia"/>
                <w:lang w:val="en-US" w:eastAsia="zh-CN"/>
              </w:rPr>
              <w:t>不低于</w:t>
            </w:r>
            <w:r>
              <w:rPr>
                <w:rFonts w:hint="eastAsia"/>
              </w:rPr>
              <w:t>1</w:t>
            </w:r>
            <w:r>
              <w:t>8</w:t>
            </w:r>
            <w:r>
              <w:rPr>
                <w:rFonts w:hint="eastAsia"/>
              </w:rPr>
              <w:t>TB。</w:t>
            </w:r>
          </w:p>
          <w:p>
            <w:pPr>
              <w:widowControl/>
              <w:numPr>
                <w:ilvl w:val="0"/>
                <w:numId w:val="2"/>
              </w:numPr>
              <w:jc w:val="left"/>
              <w:rPr>
                <w:rFonts w:ascii="宋体" w:hAnsi="宋体"/>
                <w:szCs w:val="21"/>
              </w:rPr>
            </w:pPr>
            <w:r>
              <w:rPr>
                <w:rFonts w:hint="eastAsia"/>
              </w:rPr>
              <w:t>系统软件：</w:t>
            </w:r>
            <w:r>
              <w:rPr>
                <w:rFonts w:hint="eastAsia"/>
                <w:lang w:val="en-US" w:eastAsia="zh-CN"/>
              </w:rPr>
              <w:t>要求</w:t>
            </w:r>
            <w:r>
              <w:rPr>
                <w:rFonts w:hint="eastAsia"/>
              </w:rPr>
              <w:t>包含</w:t>
            </w:r>
            <w:r>
              <w:rPr>
                <w:rFonts w:hint="eastAsia" w:ascii="宋体" w:hAnsi="宋体"/>
                <w:szCs w:val="21"/>
              </w:rPr>
              <w:t>管理软件、审核引擎、搜索引擎</w:t>
            </w:r>
            <w:r>
              <w:rPr>
                <w:rFonts w:hint="eastAsia" w:ascii="宋体" w:hAnsi="宋体"/>
                <w:szCs w:val="21"/>
                <w:lang w:val="en-US" w:eastAsia="zh-CN"/>
              </w:rPr>
              <w:t>等功能模块。</w:t>
            </w:r>
          </w:p>
          <w:p>
            <w:pPr>
              <w:pStyle w:val="18"/>
              <w:numPr>
                <w:ilvl w:val="0"/>
                <w:numId w:val="3"/>
              </w:numPr>
              <w:rPr>
                <w:szCs w:val="21"/>
                <w:highlight w:val="none"/>
              </w:rPr>
            </w:pPr>
            <w:r>
              <w:rPr>
                <w:rFonts w:hint="eastAsia"/>
                <w:szCs w:val="21"/>
                <w:highlight w:val="none"/>
                <w:lang w:val="en-US" w:eastAsia="zh-CN"/>
              </w:rPr>
              <w:t>要求支持</w:t>
            </w:r>
            <w:r>
              <w:rPr>
                <w:szCs w:val="21"/>
                <w:highlight w:val="none"/>
              </w:rPr>
              <w:t>数据看板</w:t>
            </w:r>
            <w:r>
              <w:rPr>
                <w:rFonts w:hint="eastAsia"/>
                <w:szCs w:val="21"/>
                <w:highlight w:val="none"/>
                <w:lang w:val="en-US" w:eastAsia="zh-CN"/>
              </w:rPr>
              <w:t>功能</w:t>
            </w:r>
            <w:r>
              <w:rPr>
                <w:rFonts w:hint="eastAsia"/>
                <w:szCs w:val="21"/>
                <w:highlight w:val="none"/>
                <w:lang w:eastAsia="zh-CN"/>
              </w:rPr>
              <w:t>，</w:t>
            </w:r>
            <w:r>
              <w:rPr>
                <w:szCs w:val="21"/>
                <w:highlight w:val="none"/>
              </w:rPr>
              <w:t>支持数据统计、最新告警</w:t>
            </w:r>
            <w:r>
              <w:rPr>
                <w:rFonts w:hint="eastAsia"/>
                <w:szCs w:val="21"/>
                <w:highlight w:val="none"/>
              </w:rPr>
              <w:t>展示；</w:t>
            </w:r>
          </w:p>
          <w:p>
            <w:pPr>
              <w:pStyle w:val="18"/>
              <w:numPr>
                <w:ilvl w:val="0"/>
                <w:numId w:val="0"/>
              </w:numPr>
              <w:ind w:leftChars="0"/>
              <w:rPr>
                <w:szCs w:val="21"/>
                <w:highlight w:val="none"/>
              </w:rPr>
            </w:pPr>
            <w:r>
              <w:rPr>
                <w:rFonts w:hint="eastAsia"/>
                <w:color w:val="000000"/>
                <w:sz w:val="24"/>
                <w:szCs w:val="20"/>
                <w:highlight w:val="none"/>
              </w:rPr>
              <w:t>★</w:t>
            </w:r>
            <w:r>
              <w:rPr>
                <w:rFonts w:hint="eastAsia"/>
                <w:color w:val="000000"/>
                <w:sz w:val="24"/>
                <w:szCs w:val="20"/>
                <w:highlight w:val="none"/>
                <w:lang w:eastAsia="zh-CN"/>
              </w:rPr>
              <w:t>（</w:t>
            </w:r>
            <w:r>
              <w:rPr>
                <w:rFonts w:hint="eastAsia"/>
                <w:color w:val="000000"/>
                <w:sz w:val="24"/>
                <w:szCs w:val="20"/>
                <w:highlight w:val="none"/>
                <w:lang w:val="en-US" w:eastAsia="zh-CN"/>
              </w:rPr>
              <w:t>2）</w:t>
            </w:r>
            <w:r>
              <w:rPr>
                <w:rFonts w:hint="eastAsia"/>
                <w:szCs w:val="21"/>
                <w:highlight w:val="none"/>
                <w:lang w:val="en-US" w:eastAsia="zh-CN"/>
              </w:rPr>
              <w:t>要求支持</w:t>
            </w:r>
            <w:r>
              <w:rPr>
                <w:szCs w:val="21"/>
                <w:highlight w:val="none"/>
              </w:rPr>
              <w:t>实时监测</w:t>
            </w:r>
            <w:r>
              <w:rPr>
                <w:rFonts w:hint="eastAsia"/>
                <w:szCs w:val="21"/>
                <w:highlight w:val="none"/>
                <w:lang w:eastAsia="zh-CN"/>
              </w:rPr>
              <w:t>，</w:t>
            </w:r>
            <w:r>
              <w:rPr>
                <w:rFonts w:hint="eastAsia"/>
                <w:szCs w:val="21"/>
                <w:highlight w:val="none"/>
                <w:lang w:val="en-US" w:eastAsia="zh-CN"/>
              </w:rPr>
              <w:t>要求可实现</w:t>
            </w:r>
            <w:r>
              <w:rPr>
                <w:szCs w:val="21"/>
                <w:highlight w:val="none"/>
              </w:rPr>
              <w:t>一号保障、落马官员、劣迹艺人、敏感人员、敏感词句、敏感OCR、敏感语音、敏感旗帜、违规台标</w:t>
            </w:r>
            <w:r>
              <w:rPr>
                <w:rFonts w:hint="eastAsia"/>
                <w:szCs w:val="21"/>
                <w:highlight w:val="none"/>
                <w:lang w:val="en-US" w:eastAsia="zh-CN"/>
              </w:rPr>
              <w:t>等</w:t>
            </w:r>
            <w:r>
              <w:rPr>
                <w:rFonts w:hint="eastAsia"/>
                <w:szCs w:val="21"/>
                <w:highlight w:val="none"/>
              </w:rPr>
              <w:t>；</w:t>
            </w:r>
          </w:p>
          <w:p>
            <w:pPr>
              <w:pStyle w:val="18"/>
              <w:numPr>
                <w:ilvl w:val="0"/>
                <w:numId w:val="0"/>
              </w:numPr>
              <w:ind w:leftChars="0"/>
              <w:rPr>
                <w:szCs w:val="21"/>
                <w:highlight w:val="none"/>
              </w:rPr>
            </w:pPr>
            <w:r>
              <w:rPr>
                <w:rFonts w:hint="eastAsia"/>
                <w:color w:val="000000"/>
                <w:sz w:val="24"/>
                <w:szCs w:val="20"/>
                <w:highlight w:val="none"/>
              </w:rPr>
              <w:t>★</w:t>
            </w:r>
            <w:r>
              <w:rPr>
                <w:rFonts w:hint="eastAsia"/>
                <w:szCs w:val="21"/>
                <w:highlight w:val="none"/>
                <w:lang w:val="en-US" w:eastAsia="zh-CN"/>
              </w:rPr>
              <w:t>（3）要求支持</w:t>
            </w:r>
            <w:r>
              <w:rPr>
                <w:szCs w:val="21"/>
                <w:highlight w:val="none"/>
              </w:rPr>
              <w:t>翻库检索</w:t>
            </w:r>
            <w:r>
              <w:rPr>
                <w:rFonts w:hint="eastAsia"/>
                <w:szCs w:val="21"/>
                <w:highlight w:val="none"/>
                <w:lang w:val="en-US" w:eastAsia="zh-CN"/>
              </w:rPr>
              <w:t>功能</w:t>
            </w:r>
            <w:r>
              <w:rPr>
                <w:rFonts w:hint="eastAsia"/>
                <w:szCs w:val="21"/>
                <w:highlight w:val="none"/>
                <w:lang w:eastAsia="zh-CN"/>
              </w:rPr>
              <w:t>，</w:t>
            </w:r>
            <w:r>
              <w:rPr>
                <w:rFonts w:hint="eastAsia"/>
                <w:szCs w:val="21"/>
                <w:highlight w:val="none"/>
                <w:lang w:val="en-US" w:eastAsia="zh-CN"/>
              </w:rPr>
              <w:t>要求支持</w:t>
            </w:r>
            <w:r>
              <w:rPr>
                <w:szCs w:val="21"/>
                <w:highlight w:val="none"/>
              </w:rPr>
              <w:t>文本、OCR、人脸、语音搜索</w:t>
            </w:r>
            <w:r>
              <w:rPr>
                <w:rFonts w:hint="eastAsia"/>
                <w:szCs w:val="21"/>
                <w:highlight w:val="none"/>
              </w:rPr>
              <w:t>；</w:t>
            </w:r>
            <w:r>
              <w:rPr>
                <w:szCs w:val="21"/>
                <w:highlight w:val="none"/>
              </w:rPr>
              <w:t>以图搜图、以文搜图</w:t>
            </w:r>
            <w:r>
              <w:rPr>
                <w:rFonts w:hint="eastAsia"/>
                <w:szCs w:val="21"/>
                <w:highlight w:val="none"/>
              </w:rPr>
              <w:t>；每周落马官员底库新增条目自动翻库检索(</w:t>
            </w:r>
            <w:r>
              <w:rPr>
                <w:rFonts w:hint="eastAsia"/>
                <w:szCs w:val="21"/>
                <w:highlight w:val="none"/>
                <w:lang w:val="en-US" w:eastAsia="zh-CN"/>
              </w:rPr>
              <w:t>要求支持</w:t>
            </w:r>
            <w:r>
              <w:rPr>
                <w:rFonts w:hint="eastAsia"/>
                <w:szCs w:val="21"/>
                <w:highlight w:val="none"/>
              </w:rPr>
              <w:t>对含有人脸图片的条目进行人脸翻库检索)；</w:t>
            </w:r>
          </w:p>
          <w:p>
            <w:pPr>
              <w:pStyle w:val="18"/>
              <w:numPr>
                <w:ilvl w:val="0"/>
                <w:numId w:val="0"/>
              </w:numPr>
              <w:ind w:leftChars="0"/>
              <w:rPr>
                <w:szCs w:val="21"/>
              </w:rPr>
            </w:pPr>
            <w:r>
              <w:rPr>
                <w:rFonts w:hint="eastAsia"/>
                <w:szCs w:val="21"/>
                <w:lang w:val="en-US" w:eastAsia="zh-CN"/>
              </w:rPr>
              <w:t>（4）要求支持</w:t>
            </w:r>
            <w:r>
              <w:rPr>
                <w:szCs w:val="21"/>
              </w:rPr>
              <w:t>系统中台</w:t>
            </w:r>
            <w:r>
              <w:rPr>
                <w:rFonts w:hint="eastAsia"/>
                <w:szCs w:val="21"/>
                <w:lang w:val="en-US" w:eastAsia="zh-CN"/>
              </w:rPr>
              <w:t>功能，支持</w:t>
            </w:r>
            <w:r>
              <w:rPr>
                <w:szCs w:val="21"/>
              </w:rPr>
              <w:t>系统运行状态查看</w:t>
            </w:r>
            <w:r>
              <w:rPr>
                <w:rFonts w:hint="eastAsia"/>
                <w:szCs w:val="21"/>
              </w:rPr>
              <w:t>；</w:t>
            </w:r>
          </w:p>
          <w:p>
            <w:pPr>
              <w:pStyle w:val="18"/>
              <w:numPr>
                <w:ilvl w:val="0"/>
                <w:numId w:val="0"/>
              </w:numPr>
              <w:ind w:leftChars="0"/>
              <w:rPr>
                <w:szCs w:val="21"/>
              </w:rPr>
            </w:pPr>
            <w:r>
              <w:rPr>
                <w:rFonts w:hint="eastAsia"/>
                <w:szCs w:val="21"/>
                <w:lang w:val="en-US" w:eastAsia="zh-CN"/>
              </w:rPr>
              <w:t>（5）要求支持</w:t>
            </w:r>
            <w:r>
              <w:rPr>
                <w:szCs w:val="21"/>
              </w:rPr>
              <w:t>底库管理</w:t>
            </w:r>
            <w:r>
              <w:rPr>
                <w:rFonts w:hint="eastAsia"/>
                <w:szCs w:val="21"/>
                <w:lang w:eastAsia="zh-CN"/>
              </w:rPr>
              <w:t>，</w:t>
            </w:r>
            <w:r>
              <w:rPr>
                <w:rFonts w:hint="eastAsia"/>
                <w:szCs w:val="21"/>
                <w:lang w:val="en-US" w:eastAsia="zh-CN"/>
              </w:rPr>
              <w:t>支持</w:t>
            </w:r>
            <w:r>
              <w:rPr>
                <w:szCs w:val="21"/>
              </w:rPr>
              <w:t>敏感底库关注等级自维护、自定义敏感底库</w:t>
            </w:r>
            <w:r>
              <w:rPr>
                <w:rFonts w:hint="eastAsia"/>
                <w:szCs w:val="21"/>
              </w:rPr>
              <w:t>增删改查；</w:t>
            </w:r>
          </w:p>
          <w:p>
            <w:pPr>
              <w:pStyle w:val="18"/>
              <w:numPr>
                <w:ilvl w:val="0"/>
                <w:numId w:val="0"/>
              </w:numPr>
              <w:ind w:leftChars="0"/>
              <w:rPr>
                <w:color w:val="000000"/>
                <w:szCs w:val="21"/>
              </w:rPr>
            </w:pPr>
            <w:r>
              <w:rPr>
                <w:rFonts w:hint="eastAsia"/>
                <w:szCs w:val="21"/>
                <w:lang w:val="en-US" w:eastAsia="zh-CN"/>
              </w:rPr>
              <w:t>（6）要求支持</w:t>
            </w:r>
            <w:r>
              <w:rPr>
                <w:szCs w:val="21"/>
              </w:rPr>
              <w:t>敏感底库更新、翻库检索设置</w:t>
            </w:r>
            <w:r>
              <w:rPr>
                <w:rFonts w:hint="eastAsia"/>
                <w:szCs w:val="21"/>
              </w:rPr>
              <w:t>。</w:t>
            </w:r>
          </w:p>
          <w:p>
            <w:pPr>
              <w:widowControl/>
              <w:numPr>
                <w:ilvl w:val="0"/>
                <w:numId w:val="2"/>
              </w:numPr>
              <w:jc w:val="left"/>
              <w:rPr>
                <w:color w:val="000000"/>
                <w:sz w:val="24"/>
                <w:szCs w:val="20"/>
              </w:rPr>
            </w:pPr>
            <w:r>
              <w:rPr>
                <w:rFonts w:hint="eastAsia"/>
                <w:color w:val="000000"/>
                <w:sz w:val="24"/>
                <w:szCs w:val="20"/>
                <w:lang w:val="en-US" w:eastAsia="zh-CN"/>
              </w:rPr>
              <w:t>要求支持</w:t>
            </w:r>
            <w:r>
              <w:rPr>
                <w:rFonts w:hint="eastAsia"/>
                <w:color w:val="000000"/>
                <w:sz w:val="24"/>
                <w:szCs w:val="20"/>
              </w:rPr>
              <w:t>支持本地FTP目录</w:t>
            </w:r>
            <w:r>
              <w:rPr>
                <w:rFonts w:hint="eastAsia"/>
                <w:color w:val="000000"/>
                <w:sz w:val="24"/>
                <w:szCs w:val="20"/>
                <w:lang w:val="en-US" w:eastAsia="zh-CN"/>
              </w:rPr>
              <w:t>作为数据源；</w:t>
            </w:r>
          </w:p>
          <w:p>
            <w:pPr>
              <w:widowControl/>
              <w:numPr>
                <w:ilvl w:val="0"/>
                <w:numId w:val="2"/>
              </w:numPr>
              <w:jc w:val="left"/>
              <w:rPr>
                <w:rFonts w:ascii="宋体" w:hAnsi="宋体"/>
                <w:szCs w:val="21"/>
              </w:rPr>
            </w:pPr>
            <w:r>
              <w:rPr>
                <w:rFonts w:hint="eastAsia"/>
                <w:color w:val="000000"/>
                <w:sz w:val="24"/>
                <w:szCs w:val="20"/>
                <w:lang w:val="en-US" w:eastAsia="zh-CN"/>
              </w:rPr>
              <w:t>要求系统</w:t>
            </w:r>
            <w:r>
              <w:rPr>
                <w:rFonts w:hint="eastAsia"/>
                <w:color w:val="000000"/>
                <w:sz w:val="24"/>
                <w:szCs w:val="20"/>
              </w:rPr>
              <w:t>支持本地化部署：</w:t>
            </w:r>
          </w:p>
          <w:p>
            <w:pPr>
              <w:numPr>
                <w:ilvl w:val="0"/>
                <w:numId w:val="4"/>
              </w:numPr>
              <w:ind w:left="0" w:firstLine="0"/>
              <w:jc w:val="left"/>
              <w:rPr>
                <w:rFonts w:ascii="宋体" w:hAnsi="宋体"/>
                <w:szCs w:val="21"/>
              </w:rPr>
            </w:pPr>
            <w:r>
              <w:rPr>
                <w:rFonts w:hint="eastAsia" w:ascii="宋体" w:hAnsi="宋体"/>
                <w:szCs w:val="21"/>
                <w:lang w:val="en-US" w:eastAsia="zh-CN"/>
              </w:rPr>
              <w:t>要求</w:t>
            </w:r>
            <w:r>
              <w:rPr>
                <w:rFonts w:hint="eastAsia" w:ascii="宋体" w:hAnsi="宋体"/>
                <w:szCs w:val="21"/>
              </w:rPr>
              <w:t>系统</w:t>
            </w:r>
            <w:r>
              <w:rPr>
                <w:rFonts w:hint="eastAsia" w:ascii="宋体" w:hAnsi="宋体"/>
                <w:szCs w:val="21"/>
                <w:lang w:val="en-US" w:eastAsia="zh-CN"/>
              </w:rPr>
              <w:t>支持</w:t>
            </w:r>
            <w:r>
              <w:rPr>
                <w:rFonts w:hint="eastAsia" w:ascii="宋体" w:hAnsi="宋体"/>
                <w:szCs w:val="21"/>
              </w:rPr>
              <w:t>10倍速审核；</w:t>
            </w:r>
          </w:p>
          <w:p>
            <w:pPr>
              <w:numPr>
                <w:ilvl w:val="0"/>
                <w:numId w:val="4"/>
              </w:numPr>
              <w:ind w:left="0" w:firstLine="0"/>
              <w:jc w:val="left"/>
              <w:rPr>
                <w:rFonts w:ascii="宋体" w:hAnsi="宋体"/>
                <w:szCs w:val="21"/>
              </w:rPr>
            </w:pPr>
            <w:r>
              <w:rPr>
                <w:rFonts w:hint="eastAsia" w:ascii="宋体" w:hAnsi="宋体"/>
                <w:szCs w:val="21"/>
                <w:lang w:val="en-US" w:eastAsia="zh-CN"/>
              </w:rPr>
              <w:t>要求</w:t>
            </w:r>
            <w:r>
              <w:rPr>
                <w:rFonts w:hint="eastAsia" w:ascii="宋体" w:hAnsi="宋体"/>
                <w:szCs w:val="21"/>
              </w:rPr>
              <w:t>系统</w:t>
            </w:r>
            <w:r>
              <w:rPr>
                <w:rFonts w:hint="eastAsia" w:ascii="宋体" w:hAnsi="宋体"/>
                <w:szCs w:val="21"/>
                <w:lang w:val="en-US" w:eastAsia="zh-CN"/>
              </w:rPr>
              <w:t>支持</w:t>
            </w:r>
            <w:r>
              <w:rPr>
                <w:rFonts w:hint="eastAsia" w:ascii="宋体" w:hAnsi="宋体"/>
                <w:szCs w:val="21"/>
              </w:rPr>
              <w:t>翻库检索速度60秒；</w:t>
            </w:r>
          </w:p>
          <w:p>
            <w:pPr>
              <w:numPr>
                <w:ilvl w:val="0"/>
                <w:numId w:val="4"/>
              </w:numPr>
              <w:ind w:left="0" w:firstLine="0"/>
              <w:jc w:val="left"/>
              <w:rPr>
                <w:rFonts w:ascii="宋体" w:hAnsi="宋体"/>
                <w:szCs w:val="21"/>
              </w:rPr>
            </w:pPr>
            <w:r>
              <w:rPr>
                <w:rFonts w:hint="eastAsia" w:ascii="宋体" w:hAnsi="宋体"/>
                <w:szCs w:val="21"/>
                <w:lang w:val="en-US" w:eastAsia="zh-CN"/>
              </w:rPr>
              <w:t>要求</w:t>
            </w:r>
            <w:r>
              <w:rPr>
                <w:rFonts w:hint="eastAsia" w:ascii="宋体" w:hAnsi="宋体"/>
                <w:szCs w:val="21"/>
              </w:rPr>
              <w:t>系统</w:t>
            </w:r>
            <w:r>
              <w:rPr>
                <w:rFonts w:hint="eastAsia" w:ascii="宋体" w:hAnsi="宋体"/>
                <w:szCs w:val="21"/>
                <w:lang w:val="en-US" w:eastAsia="zh-CN"/>
              </w:rPr>
              <w:t>支持</w:t>
            </w:r>
            <w:r>
              <w:rPr>
                <w:rFonts w:hint="eastAsia" w:ascii="宋体" w:hAnsi="宋体"/>
                <w:szCs w:val="21"/>
              </w:rPr>
              <w:t>每日增量数据定时监测；</w:t>
            </w:r>
          </w:p>
          <w:p>
            <w:pPr>
              <w:numPr>
                <w:ilvl w:val="0"/>
                <w:numId w:val="4"/>
              </w:numPr>
              <w:ind w:left="0" w:firstLine="0"/>
              <w:jc w:val="left"/>
              <w:rPr>
                <w:color w:val="000000"/>
                <w:szCs w:val="21"/>
              </w:rPr>
            </w:pPr>
            <w:r>
              <w:rPr>
                <w:rFonts w:hint="eastAsia" w:ascii="宋体" w:hAnsi="宋体"/>
                <w:szCs w:val="21"/>
                <w:lang w:val="en-US" w:eastAsia="zh-CN"/>
              </w:rPr>
              <w:t>要求</w:t>
            </w:r>
            <w:r>
              <w:rPr>
                <w:rFonts w:hint="eastAsia" w:ascii="宋体" w:hAnsi="宋体"/>
                <w:szCs w:val="21"/>
              </w:rPr>
              <w:t>系统</w:t>
            </w:r>
            <w:r>
              <w:rPr>
                <w:rFonts w:hint="eastAsia" w:ascii="宋体" w:hAnsi="宋体"/>
                <w:szCs w:val="21"/>
                <w:lang w:val="en-US" w:eastAsia="zh-CN"/>
              </w:rPr>
              <w:t>支持</w:t>
            </w:r>
            <w:r>
              <w:rPr>
                <w:rFonts w:hint="eastAsia" w:ascii="宋体" w:hAnsi="宋体"/>
                <w:szCs w:val="21"/>
              </w:rPr>
              <w:t>存量数据翻库检索；</w:t>
            </w:r>
          </w:p>
          <w:p>
            <w:pPr>
              <w:jc w:val="center"/>
              <w:rPr>
                <w:color w:val="000000"/>
                <w:sz w:val="24"/>
                <w:szCs w:val="20"/>
              </w:rPr>
            </w:pPr>
            <w:r>
              <w:rPr>
                <w:rFonts w:hint="eastAsia" w:ascii="宋体" w:hAnsi="宋体"/>
                <w:szCs w:val="21"/>
                <w:lang w:val="en-US" w:eastAsia="zh-CN"/>
              </w:rPr>
              <w:t>要求</w:t>
            </w:r>
            <w:r>
              <w:rPr>
                <w:rFonts w:hint="eastAsia" w:ascii="宋体" w:hAnsi="宋体"/>
                <w:szCs w:val="21"/>
              </w:rPr>
              <w:t>系统</w:t>
            </w:r>
            <w:r>
              <w:rPr>
                <w:rFonts w:hint="eastAsia" w:ascii="宋体" w:hAnsi="宋体"/>
                <w:szCs w:val="21"/>
                <w:lang w:val="en-US" w:eastAsia="zh-CN"/>
              </w:rPr>
              <w:t>支持不低于</w:t>
            </w:r>
            <w:r>
              <w:rPr>
                <w:rFonts w:hint="eastAsia" w:ascii="宋体" w:hAnsi="宋体"/>
                <w:szCs w:val="21"/>
              </w:rPr>
              <w:t>10,000小时总库审核&amp;搜索能力。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 xml:space="preserve">商务要求：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color w:val="000000"/>
                <w:sz w:val="24"/>
                <w:szCs w:val="20"/>
              </w:rPr>
            </w:pPr>
            <w:r>
              <w:rPr>
                <w:rFonts w:hint="eastAsia"/>
                <w:color w:val="000000"/>
                <w:sz w:val="24"/>
                <w:szCs w:val="20"/>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000000"/>
                <w:sz w:val="24"/>
                <w:szCs w:val="20"/>
              </w:rPr>
            </w:pPr>
            <w:r>
              <w:rPr>
                <w:rFonts w:hint="eastAsia" w:ascii="宋体" w:hAnsi="宋体" w:cs="宋体"/>
                <w:bCs/>
                <w:color w:val="000000"/>
                <w:kern w:val="0"/>
                <w:szCs w:val="21"/>
              </w:rPr>
              <w:t>自成交通知书发出之日起10个工作日内。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000000"/>
                <w:sz w:val="24"/>
                <w:szCs w:val="20"/>
              </w:rPr>
            </w:pPr>
            <w:r>
              <w:rPr>
                <w:rFonts w:hint="eastAsia" w:ascii="宋体" w:hAnsi="宋体" w:cs="宋体"/>
                <w:bCs/>
                <w:color w:val="000000"/>
                <w:kern w:val="0"/>
                <w:szCs w:val="21"/>
              </w:rPr>
              <w:t>自合同签订之日起壹年。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bCs/>
                <w:color w:val="000000"/>
                <w:kern w:val="0"/>
                <w:szCs w:val="21"/>
              </w:rPr>
            </w:pPr>
            <w:r>
              <w:rPr>
                <w:rFonts w:hint="eastAsia" w:ascii="宋体" w:hAnsi="宋体" w:cs="宋体"/>
                <w:bCs/>
                <w:color w:val="000000"/>
                <w:kern w:val="0"/>
                <w:szCs w:val="21"/>
              </w:rPr>
              <w:t>1、质量保证期：硬件质量保证期 3 年，软件质保期1年（验收合格交付使用之日起）</w:t>
            </w:r>
          </w:p>
          <w:p>
            <w:pPr>
              <w:adjustRightInd w:val="0"/>
              <w:snapToGrid w:val="0"/>
              <w:spacing w:line="360" w:lineRule="exact"/>
              <w:ind w:firstLine="210" w:firstLineChars="100"/>
              <w:rPr>
                <w:rFonts w:ascii="宋体" w:hAnsi="宋体" w:cs="宋体"/>
                <w:bCs/>
                <w:color w:val="000000"/>
                <w:kern w:val="0"/>
                <w:szCs w:val="21"/>
              </w:rPr>
            </w:pPr>
            <w:r>
              <w:rPr>
                <w:rFonts w:hint="eastAsia" w:ascii="宋体" w:hAnsi="宋体" w:cs="宋体"/>
                <w:bCs/>
                <w:color w:val="000000"/>
                <w:kern w:val="0"/>
                <w:szCs w:val="21"/>
              </w:rPr>
              <w:t>2、质保期内系统维护的范围包括：人工智能内容审核系统的正常运行和维护。</w:t>
            </w:r>
          </w:p>
          <w:p>
            <w:pPr>
              <w:adjustRightInd w:val="0"/>
              <w:snapToGrid w:val="0"/>
              <w:spacing w:line="360" w:lineRule="exact"/>
              <w:ind w:firstLine="210" w:firstLineChars="100"/>
              <w:rPr>
                <w:rFonts w:ascii="宋体" w:hAnsi="宋体" w:cs="宋体"/>
                <w:bCs/>
                <w:color w:val="000000"/>
                <w:kern w:val="0"/>
                <w:szCs w:val="21"/>
              </w:rPr>
            </w:pPr>
            <w:r>
              <w:rPr>
                <w:rFonts w:hint="eastAsia" w:ascii="宋体" w:hAnsi="宋体" w:cs="宋体"/>
                <w:bCs/>
                <w:color w:val="000000"/>
                <w:kern w:val="0"/>
                <w:szCs w:val="21"/>
              </w:rPr>
              <w:t>3、质保期内相关零件免费更换服务。</w:t>
            </w:r>
          </w:p>
          <w:p>
            <w:pPr>
              <w:adjustRightInd w:val="0"/>
              <w:snapToGrid w:val="0"/>
              <w:spacing w:line="360" w:lineRule="exact"/>
              <w:ind w:firstLine="210" w:firstLineChars="100"/>
              <w:rPr>
                <w:color w:val="000000"/>
                <w:sz w:val="24"/>
                <w:szCs w:val="20"/>
              </w:rPr>
            </w:pPr>
            <w:r>
              <w:rPr>
                <w:rFonts w:hint="eastAsia" w:ascii="宋体" w:hAnsi="宋体" w:cs="宋体"/>
                <w:bCs/>
                <w:color w:val="000000"/>
                <w:kern w:val="0"/>
                <w:szCs w:val="21"/>
              </w:rPr>
              <w:t>4、处理问题响应时间：接到采购人处理问题通知后2个小时内到达采购人指定现场。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
              <w:ind w:left="210" w:leftChars="100" w:firstLine="420" w:firstLineChars="200"/>
              <w:rPr>
                <w:color w:val="000000"/>
                <w:sz w:val="24"/>
                <w:szCs w:val="20"/>
              </w:rPr>
            </w:pPr>
            <w:r>
              <w:rPr>
                <w:rFonts w:hint="eastAsia" w:ascii="宋体" w:hAnsi="宋体" w:cs="宋体"/>
                <w:color w:val="000000"/>
                <w:sz w:val="21"/>
                <w:szCs w:val="16"/>
              </w:rPr>
              <w:t>签订合同后，货物安装调试完毕试运行正常后，采购人支付中标人合同总价90%合同款；设备正常试运行满6个月后，中标人可提出验收申请，经验收合格后采购人凭中标人提交的验收合格证明，采购人支付中标人合同总价10%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7"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1、投标报价：本项目为固定总价合同，投标报价为采购人指定地点的现场交货价，包括：</w:t>
            </w:r>
          </w:p>
          <w:p>
            <w:pPr>
              <w:adjustRightInd w:val="0"/>
              <w:snapToGrid w:val="0"/>
              <w:spacing w:line="360" w:lineRule="exact"/>
              <w:ind w:firstLine="420" w:firstLineChars="200"/>
              <w:jc w:val="both"/>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硬件搭建、软件安装、运输、二次运输、装卸、培训、技术支持、监理费、售后服务费及相关税费、保险费；</w:t>
            </w:r>
          </w:p>
          <w:p>
            <w:pPr>
              <w:adjustRightInd w:val="0"/>
              <w:snapToGrid w:val="0"/>
              <w:spacing w:line="360" w:lineRule="exact"/>
              <w:ind w:firstLine="211" w:firstLineChars="100"/>
              <w:jc w:val="both"/>
              <w:rPr>
                <w:rFonts w:hint="eastAsia" w:ascii="宋体" w:hAnsi="宋体" w:cs="宋体"/>
                <w:bCs/>
                <w:color w:val="000000"/>
                <w:kern w:val="0"/>
                <w:szCs w:val="21"/>
                <w:lang w:val="en-US" w:eastAsia="zh-CN"/>
              </w:rPr>
            </w:pPr>
            <w:r>
              <w:rPr>
                <w:rFonts w:hint="eastAsia" w:ascii="宋体" w:hAnsi="宋体"/>
                <w:b/>
                <w:bCs/>
                <w:sz w:val="21"/>
                <w:szCs w:val="24"/>
              </w:rPr>
              <w:t>★</w:t>
            </w:r>
            <w:r>
              <w:rPr>
                <w:rFonts w:hint="eastAsia" w:ascii="宋体" w:hAnsi="宋体" w:cs="宋体"/>
                <w:bCs/>
                <w:color w:val="000000"/>
                <w:kern w:val="0"/>
                <w:szCs w:val="21"/>
                <w:lang w:val="en-US" w:eastAsia="zh-CN"/>
              </w:rPr>
              <w:t>2、交货时间：人工智能内容审核系统交付时间：自合同签订生效之日起30个日历日内调试安装完毕。</w:t>
            </w:r>
          </w:p>
          <w:p>
            <w:pPr>
              <w:adjustRightInd w:val="0"/>
              <w:snapToGrid w:val="0"/>
              <w:spacing w:line="360" w:lineRule="exact"/>
              <w:ind w:firstLine="210" w:firstLineChars="100"/>
              <w:jc w:val="both"/>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3、交货地点：广西壮族自治区采购方指定地点。</w:t>
            </w:r>
          </w:p>
          <w:p>
            <w:pPr>
              <w:pStyle w:val="5"/>
              <w:jc w:val="both"/>
              <w:rPr>
                <w:rFonts w:hint="eastAsia" w:ascii="宋体" w:hAnsi="宋体" w:cs="宋体"/>
                <w:b w:val="0"/>
                <w:bCs/>
                <w:color w:val="000000"/>
                <w:kern w:val="0"/>
                <w:sz w:val="21"/>
                <w:szCs w:val="18"/>
                <w:lang w:val="en-US" w:eastAsia="zh-CN"/>
              </w:rPr>
            </w:pPr>
            <w:r>
              <w:rPr>
                <w:rFonts w:hint="eastAsia" w:ascii="宋体" w:hAnsi="宋体" w:cs="宋体"/>
                <w:bCs/>
                <w:color w:val="000000"/>
                <w:kern w:val="0"/>
                <w:szCs w:val="21"/>
                <w:lang w:val="en-US" w:eastAsia="zh-CN"/>
              </w:rPr>
              <w:t xml:space="preserve">  </w:t>
            </w:r>
            <w:r>
              <w:rPr>
                <w:rFonts w:hint="eastAsia" w:ascii="宋体" w:hAnsi="宋体" w:cs="宋体"/>
                <w:b w:val="0"/>
                <w:bCs/>
                <w:color w:val="000000"/>
                <w:kern w:val="0"/>
                <w:sz w:val="21"/>
                <w:szCs w:val="18"/>
                <w:lang w:val="en-US" w:eastAsia="zh-CN"/>
              </w:rPr>
              <w:t>4、售后技术服务要求：</w:t>
            </w:r>
          </w:p>
          <w:p>
            <w:pPr>
              <w:jc w:val="both"/>
              <w:rPr>
                <w:rFonts w:hint="eastAsia" w:ascii="宋体" w:hAnsi="宋体" w:cs="宋体"/>
                <w:b w:val="0"/>
                <w:bCs/>
                <w:color w:val="000000"/>
                <w:kern w:val="0"/>
                <w:sz w:val="21"/>
                <w:szCs w:val="18"/>
                <w:lang w:val="en-US" w:eastAsia="zh-CN"/>
              </w:rPr>
            </w:pPr>
            <w:r>
              <w:rPr>
                <w:rFonts w:hint="eastAsia" w:ascii="宋体" w:hAnsi="宋体" w:cs="宋体"/>
                <w:b w:val="0"/>
                <w:bCs/>
                <w:color w:val="000000"/>
                <w:kern w:val="0"/>
                <w:sz w:val="21"/>
                <w:szCs w:val="18"/>
                <w:lang w:val="en-US" w:eastAsia="zh-CN"/>
              </w:rPr>
              <w:t xml:space="preserve">   （1） </w:t>
            </w:r>
            <w:r>
              <w:rPr>
                <w:rFonts w:hint="eastAsia" w:ascii="宋体" w:hAnsi="宋体" w:cs="宋体"/>
                <w:bCs/>
                <w:color w:val="000000"/>
                <w:kern w:val="0"/>
                <w:szCs w:val="21"/>
                <w:lang w:val="en-US" w:eastAsia="zh-CN"/>
              </w:rPr>
              <w:t>人工智能内容审核系统</w:t>
            </w:r>
            <w:r>
              <w:rPr>
                <w:rFonts w:hint="eastAsia" w:ascii="宋体" w:hAnsi="宋体" w:cs="宋体"/>
                <w:b w:val="0"/>
                <w:bCs/>
                <w:color w:val="000000"/>
                <w:kern w:val="0"/>
                <w:sz w:val="21"/>
                <w:szCs w:val="18"/>
                <w:lang w:val="en-US" w:eastAsia="zh-CN"/>
              </w:rPr>
              <w:t>质保期内，设备发生采购人无能力处理和修复的故障时，中标人应在接到故障通知后48小时内派技术人员到达现场处理。</w:t>
            </w:r>
          </w:p>
          <w:p>
            <w:pPr>
              <w:jc w:val="both"/>
              <w:rPr>
                <w:rFonts w:hint="eastAsia" w:asciiTheme="minorEastAsia" w:hAnsiTheme="minorEastAsia" w:eastAsiaTheme="minorEastAsia" w:cstheme="minorEastAsia"/>
                <w:lang w:val="en-US" w:eastAsia="zh-CN"/>
              </w:rPr>
            </w:pPr>
            <w:r>
              <w:rPr>
                <w:rFonts w:hint="eastAsia"/>
                <w:lang w:val="en-US" w:eastAsia="zh-CN"/>
              </w:rPr>
              <w:t xml:space="preserve">  </w:t>
            </w:r>
            <w:r>
              <w:rPr>
                <w:rFonts w:hint="eastAsia" w:asciiTheme="minorEastAsia" w:hAnsiTheme="minorEastAsia" w:eastAsiaTheme="minorEastAsia" w:cstheme="minorEastAsia"/>
                <w:lang w:val="en-US" w:eastAsia="zh-CN"/>
              </w:rPr>
              <w:t xml:space="preserve"> （2）安装调试及保修期间中标人往返人员的差旅费、食宿费等相关费用均由中标人自行负责。</w:t>
            </w:r>
          </w:p>
          <w:p>
            <w:pPr>
              <w:adjustRightInd w:val="0"/>
              <w:snapToGrid w:val="0"/>
              <w:spacing w:line="360" w:lineRule="exact"/>
              <w:ind w:firstLine="210" w:firstLineChars="100"/>
              <w:jc w:val="both"/>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5、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、其他要求：</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（4）投标人的纳税人类别和增值税率，增值税发票票种；</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（3）培训、技术支持、售后服务、更新升级等费用。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pStyle w:val="11"/>
              <w:rPr>
                <w:rFonts w:hint="eastAsia"/>
                <w:lang w:val="en-US" w:eastAsia="zh-CN"/>
              </w:rPr>
            </w:pP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color w:val="000000"/>
                <w:sz w:val="24"/>
                <w:szCs w:val="20"/>
              </w:rPr>
            </w:pPr>
            <w:r>
              <w:rPr>
                <w:rFonts w:hint="eastAsia" w:ascii="宋体" w:hAnsi="宋体" w:cs="宋体"/>
                <w:bCs/>
                <w:color w:val="000000"/>
                <w:kern w:val="0"/>
                <w:szCs w:val="21"/>
                <w:lang w:val="en-US" w:eastAsia="zh-CN"/>
              </w:rPr>
              <w:t xml:space="preserve"> </w:t>
            </w:r>
          </w:p>
        </w:tc>
      </w:tr>
    </w:tbl>
    <w:p>
      <w:pPr>
        <w:pStyle w:val="15"/>
      </w:pPr>
    </w:p>
    <w:p>
      <w:pPr>
        <w:pStyle w:val="15"/>
      </w:pPr>
    </w:p>
    <w:p>
      <w:pPr>
        <w:pStyle w:val="15"/>
      </w:pPr>
    </w:p>
    <w:p>
      <w:pPr>
        <w:pStyle w:val="15"/>
      </w:pPr>
    </w:p>
    <w:p>
      <w:pPr>
        <w:pStyle w:val="15"/>
      </w:pPr>
    </w:p>
    <w:p>
      <w:pPr>
        <w:pStyle w:val="15"/>
      </w:pPr>
    </w:p>
    <w:p>
      <w:pPr>
        <w:rPr>
          <w:rFonts w:hint="eastAsia"/>
          <w:b/>
          <w:sz w:val="36"/>
        </w:rPr>
      </w:pPr>
      <w:r>
        <w:rPr>
          <w:rFonts w:hint="eastAsia"/>
          <w:b/>
          <w:sz w:val="36"/>
        </w:rPr>
        <w:br w:type="page"/>
      </w:r>
    </w:p>
    <w:p>
      <w:pPr>
        <w:pStyle w:val="5"/>
        <w:jc w:val="center"/>
        <w:rPr>
          <w:b/>
          <w:sz w:val="36"/>
        </w:rPr>
      </w:pPr>
      <w:r>
        <w:rPr>
          <w:rFonts w:hint="eastAsia"/>
          <w:b/>
          <w:sz w:val="36"/>
        </w:rPr>
        <w:t>第二章</w:t>
      </w:r>
      <w:r>
        <w:rPr>
          <w:b/>
          <w:sz w:val="36"/>
        </w:rPr>
        <w:t xml:space="preserve"> </w:t>
      </w:r>
      <w:r>
        <w:rPr>
          <w:rFonts w:hint="eastAsia"/>
          <w:b/>
          <w:sz w:val="36"/>
        </w:rPr>
        <w:t>评审方法</w:t>
      </w:r>
    </w:p>
    <w:p>
      <w:pPr>
        <w:pStyle w:val="5"/>
        <w:rPr>
          <w:sz w:val="28"/>
        </w:rPr>
      </w:pPr>
      <w:r>
        <w:rPr>
          <w:rFonts w:hint="eastAsia"/>
          <w:b/>
          <w:bCs/>
        </w:rPr>
        <w:t xml:space="preserve">                                    </w:t>
      </w:r>
    </w:p>
    <w:p>
      <w:pPr>
        <w:pStyle w:val="9"/>
        <w:jc w:val="center"/>
        <w:rPr>
          <w:rFonts w:ascii="Times New Roman" w:hAnsi="Times New Roman"/>
          <w:b/>
          <w:sz w:val="30"/>
          <w:szCs w:val="30"/>
        </w:rPr>
      </w:pPr>
      <w:r>
        <w:rPr>
          <w:rFonts w:hint="eastAsia" w:ascii="Times New Roman" w:hAnsi="Times New Roman"/>
          <w:b/>
          <w:sz w:val="30"/>
          <w:szCs w:val="30"/>
        </w:rPr>
        <w:t>最低评标价法</w:t>
      </w:r>
    </w:p>
    <w:p>
      <w:pPr>
        <w:pStyle w:val="9"/>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9"/>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9"/>
        <w:spacing w:line="440" w:lineRule="exact"/>
        <w:jc w:val="center"/>
        <w:rPr>
          <w:rFonts w:ascii="Times New Roman" w:hAnsi="Times New Roman"/>
          <w:b/>
          <w:sz w:val="36"/>
        </w:rPr>
      </w:pPr>
    </w:p>
    <w:p>
      <w:pPr>
        <w:pStyle w:val="9"/>
        <w:spacing w:line="440" w:lineRule="exact"/>
        <w:jc w:val="center"/>
        <w:rPr>
          <w:rFonts w:hint="eastAsia" w:ascii="Times New Roman" w:hAnsi="Times New Roman"/>
          <w:b/>
          <w:sz w:val="36"/>
        </w:rPr>
      </w:pPr>
      <w:bookmarkStart w:id="2" w:name="_Toc532545044"/>
    </w:p>
    <w:p>
      <w:pPr>
        <w:pStyle w:val="9"/>
        <w:spacing w:line="440" w:lineRule="exact"/>
        <w:jc w:val="center"/>
        <w:rPr>
          <w:rFonts w:hint="eastAsia" w:ascii="Times New Roman" w:hAnsi="Times New Roman"/>
          <w:b/>
          <w:sz w:val="36"/>
        </w:rPr>
      </w:pPr>
    </w:p>
    <w:p>
      <w:pPr>
        <w:pStyle w:val="9"/>
        <w:spacing w:line="440" w:lineRule="exact"/>
        <w:jc w:val="center"/>
        <w:rPr>
          <w:rFonts w:hint="eastAsia" w:ascii="Times New Roman" w:hAnsi="Times New Roman"/>
          <w:b/>
          <w:sz w:val="36"/>
        </w:rPr>
      </w:pPr>
    </w:p>
    <w:p>
      <w:pPr>
        <w:pStyle w:val="9"/>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9"/>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9"/>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9"/>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4"/>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5"/>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（按需提供）</w:t>
      </w:r>
    </w:p>
    <w:p>
      <w:pPr>
        <w:pStyle w:val="5"/>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5"/>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15"/>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9"/>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9"/>
        <w:snapToGrid w:val="0"/>
        <w:jc w:val="center"/>
        <w:rPr>
          <w:rFonts w:hAnsi="宋体"/>
          <w:b/>
          <w:sz w:val="32"/>
          <w:szCs w:val="32"/>
        </w:rPr>
      </w:pPr>
    </w:p>
    <w:p>
      <w:pPr>
        <w:pStyle w:val="9"/>
        <w:snapToGrid w:val="0"/>
        <w:jc w:val="center"/>
        <w:rPr>
          <w:rFonts w:hAnsi="宋体"/>
          <w:b/>
          <w:sz w:val="32"/>
          <w:szCs w:val="32"/>
        </w:rPr>
      </w:pPr>
      <w:r>
        <w:rPr>
          <w:rFonts w:hint="eastAsia" w:hAnsi="宋体"/>
          <w:b/>
          <w:sz w:val="32"/>
          <w:szCs w:val="32"/>
        </w:rPr>
        <w:t>投标报价明细表</w:t>
      </w:r>
    </w:p>
    <w:tbl>
      <w:tblPr>
        <w:tblStyle w:val="13"/>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9"/>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8"/>
        <w:tabs>
          <w:tab w:val="left" w:pos="939"/>
        </w:tabs>
        <w:snapToGrid w:val="0"/>
        <w:spacing w:line="460" w:lineRule="exact"/>
        <w:ind w:left="401" w:leftChars="0" w:hanging="401" w:hangingChars="191"/>
        <w:rPr>
          <w:rFonts w:ascii="宋体" w:hAnsi="宋体"/>
          <w:sz w:val="21"/>
          <w:szCs w:val="21"/>
        </w:rPr>
      </w:pPr>
    </w:p>
    <w:p>
      <w:pPr>
        <w:pStyle w:val="8"/>
        <w:tabs>
          <w:tab w:val="left" w:pos="939"/>
        </w:tabs>
        <w:snapToGrid w:val="0"/>
        <w:spacing w:line="420" w:lineRule="exact"/>
        <w:ind w:left="401" w:leftChars="0" w:hanging="401" w:hangingChars="191"/>
        <w:rPr>
          <w:rFonts w:ascii="宋体" w:hAnsi="宋体"/>
          <w:sz w:val="21"/>
          <w:szCs w:val="21"/>
        </w:rPr>
      </w:pPr>
    </w:p>
    <w:p>
      <w:pPr>
        <w:pStyle w:val="8"/>
        <w:tabs>
          <w:tab w:val="left" w:pos="939"/>
        </w:tabs>
        <w:snapToGrid w:val="0"/>
        <w:spacing w:line="420" w:lineRule="exact"/>
        <w:ind w:left="401" w:leftChars="0" w:hanging="401" w:hangingChars="191"/>
        <w:rPr>
          <w:rFonts w:ascii="宋体" w:hAnsi="宋体"/>
          <w:sz w:val="21"/>
          <w:szCs w:val="21"/>
        </w:rPr>
      </w:pPr>
    </w:p>
    <w:p>
      <w:pPr>
        <w:pStyle w:val="8"/>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0"/>
      </w:pPr>
    </w:p>
    <w:p>
      <w:pPr>
        <w:pStyle w:val="10"/>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9"/>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pStyle w:val="10"/>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15"/>
      </w:pPr>
    </w:p>
    <w:p>
      <w:pPr>
        <w:pStyle w:val="15"/>
      </w:pPr>
    </w:p>
    <w:p>
      <w:pPr>
        <w:pStyle w:val="15"/>
      </w:pPr>
    </w:p>
    <w:p>
      <w:pPr>
        <w:pStyle w:val="15"/>
      </w:pPr>
    </w:p>
    <w:p>
      <w:pPr>
        <w:pStyle w:val="15"/>
      </w:pPr>
    </w:p>
    <w:p>
      <w:pPr>
        <w:pStyle w:val="15"/>
      </w:pPr>
    </w:p>
    <w:p>
      <w:pPr>
        <w:pStyle w:val="15"/>
      </w:pPr>
    </w:p>
    <w:p>
      <w:pPr>
        <w:pStyle w:val="15"/>
      </w:pPr>
    </w:p>
    <w:p>
      <w:pPr>
        <w:pStyle w:val="9"/>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9"/>
        <w:spacing w:beforeLines="0" w:afterLines="0" w:line="440" w:lineRule="exact"/>
        <w:ind w:firstLine="420" w:firstLineChars="200"/>
        <w:rPr>
          <w:rFonts w:hint="default"/>
          <w:color w:val="auto"/>
          <w:sz w:val="21"/>
          <w:szCs w:val="20"/>
          <w:highlight w:val="none"/>
        </w:rPr>
      </w:pPr>
    </w:p>
    <w:p>
      <w:pPr>
        <w:pStyle w:val="9"/>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3"/>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9"/>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9"/>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9"/>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9"/>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9"/>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6"/>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6"/>
        <w:spacing w:line="240" w:lineRule="auto"/>
        <w:ind w:firstLine="404" w:firstLineChars="200"/>
        <w:rPr>
          <w:rFonts w:hint="default" w:ascii="Times New Roman" w:hAnsi="Times New Roman" w:eastAsia="宋体" w:cs="Times New Roman"/>
          <w:color w:val="auto"/>
          <w:sz w:val="21"/>
          <w:szCs w:val="21"/>
          <w:highlight w:val="none"/>
        </w:rPr>
      </w:pPr>
    </w:p>
    <w:p>
      <w:pPr>
        <w:pStyle w:val="5"/>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5"/>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9"/>
        <w:spacing w:line="360" w:lineRule="auto"/>
        <w:ind w:firstLine="420" w:firstLineChars="200"/>
        <w:rPr>
          <w:rFonts w:hint="default" w:ascii="Times New Roman" w:hAnsi="Times New Roman" w:eastAsia="宋体" w:cs="Times New Roman"/>
          <w:color w:val="auto"/>
          <w:szCs w:val="21"/>
          <w:highlight w:val="none"/>
        </w:rPr>
      </w:pPr>
    </w:p>
    <w:p>
      <w:pPr>
        <w:pStyle w:val="9"/>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9"/>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5"/>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2"/>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3"/>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1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A9E21"/>
    <w:multiLevelType w:val="singleLevel"/>
    <w:tmpl w:val="9A5A9E21"/>
    <w:lvl w:ilvl="0" w:tentative="0">
      <w:start w:val="1"/>
      <w:numFmt w:val="decimal"/>
      <w:lvlText w:val="(%1)"/>
      <w:lvlJc w:val="left"/>
      <w:pPr>
        <w:ind w:left="425" w:hanging="425"/>
      </w:pPr>
      <w:rPr>
        <w:rFonts w:hint="default"/>
      </w:rPr>
    </w:lvl>
  </w:abstractNum>
  <w:abstractNum w:abstractNumId="1">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22B5F75"/>
    <w:multiLevelType w:val="singleLevel"/>
    <w:tmpl w:val="422B5F75"/>
    <w:lvl w:ilvl="0" w:tentative="0">
      <w:start w:val="1"/>
      <w:numFmt w:val="decimal"/>
      <w:suff w:val="nothing"/>
      <w:lvlText w:val="%1、"/>
      <w:lvlJc w:val="left"/>
      <w:pPr>
        <w:ind w:left="0" w:firstLine="0"/>
      </w:pPr>
      <w:rPr>
        <w:sz w:val="21"/>
        <w:szCs w:val="21"/>
      </w:rPr>
    </w:lvl>
  </w:abstractNum>
  <w:abstractNum w:abstractNumId="4">
    <w:nsid w:val="4B023EC7"/>
    <w:multiLevelType w:val="singleLevel"/>
    <w:tmpl w:val="4B023EC7"/>
    <w:lvl w:ilvl="0" w:tentative="0">
      <w:start w:val="1"/>
      <w:numFmt w:val="decimal"/>
      <w:lvlText w:val="(%1)"/>
      <w:lvlJc w:val="left"/>
      <w:pPr>
        <w:ind w:left="425" w:hanging="425"/>
      </w:pPr>
      <w:rPr>
        <w:rFonts w:hint="default"/>
        <w:sz w:val="21"/>
        <w:szCs w:val="21"/>
      </w:rPr>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1083B1B"/>
    <w:rsid w:val="018F2315"/>
    <w:rsid w:val="03215C6E"/>
    <w:rsid w:val="046E0498"/>
    <w:rsid w:val="05A33157"/>
    <w:rsid w:val="07AC73B9"/>
    <w:rsid w:val="093A7CD7"/>
    <w:rsid w:val="0B042AF3"/>
    <w:rsid w:val="0BCA6AEE"/>
    <w:rsid w:val="0E6007D1"/>
    <w:rsid w:val="0FB21319"/>
    <w:rsid w:val="10B77EEF"/>
    <w:rsid w:val="128D0FAD"/>
    <w:rsid w:val="156148A2"/>
    <w:rsid w:val="167A192F"/>
    <w:rsid w:val="18295812"/>
    <w:rsid w:val="184365B4"/>
    <w:rsid w:val="1AE05C4C"/>
    <w:rsid w:val="1D093997"/>
    <w:rsid w:val="1F6A6A21"/>
    <w:rsid w:val="1FD9566D"/>
    <w:rsid w:val="25C0270C"/>
    <w:rsid w:val="26122A2E"/>
    <w:rsid w:val="295D1240"/>
    <w:rsid w:val="295D66C8"/>
    <w:rsid w:val="29903251"/>
    <w:rsid w:val="2A1E10D9"/>
    <w:rsid w:val="2C0B12BB"/>
    <w:rsid w:val="2C132439"/>
    <w:rsid w:val="2D697595"/>
    <w:rsid w:val="2D9A6C2B"/>
    <w:rsid w:val="2D9D5D07"/>
    <w:rsid w:val="3343509B"/>
    <w:rsid w:val="379478DD"/>
    <w:rsid w:val="379904DE"/>
    <w:rsid w:val="3A2068D8"/>
    <w:rsid w:val="3B232AC9"/>
    <w:rsid w:val="3B470344"/>
    <w:rsid w:val="3E2F7CF0"/>
    <w:rsid w:val="3FD553CB"/>
    <w:rsid w:val="40AF0957"/>
    <w:rsid w:val="44345DAC"/>
    <w:rsid w:val="45121FCC"/>
    <w:rsid w:val="46B54148"/>
    <w:rsid w:val="46E2098A"/>
    <w:rsid w:val="49091651"/>
    <w:rsid w:val="4DD20D99"/>
    <w:rsid w:val="4E3F26A3"/>
    <w:rsid w:val="4FB46152"/>
    <w:rsid w:val="502B0E52"/>
    <w:rsid w:val="511A0E3B"/>
    <w:rsid w:val="52C6328A"/>
    <w:rsid w:val="536058F7"/>
    <w:rsid w:val="59421EFC"/>
    <w:rsid w:val="5B7C4B16"/>
    <w:rsid w:val="5BC51173"/>
    <w:rsid w:val="61783DB1"/>
    <w:rsid w:val="6516685D"/>
    <w:rsid w:val="68AB2703"/>
    <w:rsid w:val="6AA3681D"/>
    <w:rsid w:val="6C354E34"/>
    <w:rsid w:val="6C7608AE"/>
    <w:rsid w:val="6C7A1518"/>
    <w:rsid w:val="6CB206CD"/>
    <w:rsid w:val="6EE45C18"/>
    <w:rsid w:val="73772751"/>
    <w:rsid w:val="739F177E"/>
    <w:rsid w:val="7696020F"/>
    <w:rsid w:val="79733675"/>
    <w:rsid w:val="79EF0DE2"/>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spacing w:line="360" w:lineRule="auto"/>
      <w:ind w:firstLine="420"/>
      <w:jc w:val="left"/>
    </w:pPr>
    <w:rPr>
      <w:rFonts w:ascii="宋体"/>
      <w:kern w:val="0"/>
      <w:szCs w:val="20"/>
    </w:rPr>
  </w:style>
  <w:style w:type="paragraph" w:styleId="5">
    <w:name w:val="Body Text"/>
    <w:basedOn w:val="1"/>
    <w:next w:val="1"/>
    <w:autoRedefine/>
    <w:qFormat/>
    <w:uiPriority w:val="0"/>
    <w:pPr>
      <w:spacing w:line="380" w:lineRule="exact"/>
    </w:pPr>
    <w:rPr>
      <w:kern w:val="0"/>
      <w:sz w:val="24"/>
    </w:rPr>
  </w:style>
  <w:style w:type="paragraph" w:styleId="6">
    <w:name w:val="Body Text Indent"/>
    <w:basedOn w:val="1"/>
    <w:next w:val="7"/>
    <w:autoRedefine/>
    <w:qFormat/>
    <w:uiPriority w:val="0"/>
    <w:pPr>
      <w:spacing w:line="200" w:lineRule="exact"/>
      <w:ind w:firstLine="301"/>
    </w:pPr>
    <w:rPr>
      <w:rFonts w:ascii="宋体" w:hAnsi="Courier New"/>
      <w:spacing w:val="-4"/>
      <w:sz w:val="18"/>
      <w:szCs w:val="20"/>
    </w:rPr>
  </w:style>
  <w:style w:type="paragraph" w:styleId="7">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8">
    <w:name w:val="List 2"/>
    <w:basedOn w:val="1"/>
    <w:autoRedefine/>
    <w:qFormat/>
    <w:uiPriority w:val="0"/>
    <w:pPr>
      <w:ind w:left="100" w:leftChars="200" w:hanging="200" w:hangingChars="200"/>
    </w:pPr>
    <w:rPr>
      <w:sz w:val="28"/>
    </w:rPr>
  </w:style>
  <w:style w:type="paragraph" w:styleId="9">
    <w:name w:val="Plain Text"/>
    <w:basedOn w:val="1"/>
    <w:next w:val="3"/>
    <w:autoRedefine/>
    <w:qFormat/>
    <w:uiPriority w:val="0"/>
    <w:rPr>
      <w:rFonts w:ascii="宋体" w:hAnsi="Courier New"/>
      <w:szCs w:val="20"/>
    </w:rPr>
  </w:style>
  <w:style w:type="paragraph" w:styleId="10">
    <w:name w:val="footer"/>
    <w:basedOn w:val="1"/>
    <w:autoRedefine/>
    <w:unhideWhenUsed/>
    <w:qFormat/>
    <w:uiPriority w:val="0"/>
    <w:pPr>
      <w:tabs>
        <w:tab w:val="center" w:pos="4153"/>
        <w:tab w:val="right" w:pos="8306"/>
      </w:tabs>
      <w:snapToGrid w:val="0"/>
      <w:jc w:val="left"/>
    </w:pPr>
    <w:rPr>
      <w:kern w:val="0"/>
      <w:sz w:val="18"/>
      <w:szCs w:val="18"/>
    </w:rPr>
  </w:style>
  <w:style w:type="paragraph" w:styleId="11">
    <w:name w:val="Body Text First Indent"/>
    <w:basedOn w:val="5"/>
    <w:next w:val="1"/>
    <w:autoRedefine/>
    <w:qFormat/>
    <w:uiPriority w:val="0"/>
    <w:pPr>
      <w:ind w:firstLine="420" w:firstLineChars="100"/>
    </w:pPr>
    <w:rPr>
      <w:rFonts w:ascii="宋体" w:hAnsi="宋体" w:eastAsia="宋体" w:cs="Times New Roman"/>
      <w:szCs w:val="20"/>
    </w:rPr>
  </w:style>
  <w:style w:type="paragraph" w:styleId="12">
    <w:name w:val="Body Text First Indent 2"/>
    <w:basedOn w:val="6"/>
    <w:next w:val="11"/>
    <w:autoRedefine/>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表名称"/>
    <w:basedOn w:val="4"/>
    <w:autoRedefine/>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autoRedefine/>
    <w:qFormat/>
    <w:uiPriority w:val="0"/>
    <w:rPr>
      <w:rFonts w:ascii="Tahoma" w:hAnsi="Tahoma"/>
      <w:sz w:val="24"/>
      <w:szCs w:val="20"/>
    </w:rPr>
  </w:style>
  <w:style w:type="paragraph" w:styleId="18">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0</TotalTime>
  <ScaleCrop>false</ScaleCrop>
  <LinksUpToDate>false</LinksUpToDate>
  <CharactersWithSpaces>8986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巴伊老爷</cp:lastModifiedBy>
  <dcterms:modified xsi:type="dcterms:W3CDTF">2024-01-25T01:46:01Z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71359E08CFD541BD8FDE8BE20453C75D_13</vt:lpwstr>
  </property>
</Properties>
</file>