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rPr>
          <w:rFonts w:hint="eastAsia"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w:t>
      </w:r>
      <w:r>
        <w:rPr>
          <w:rFonts w:hint="eastAsia" w:ascii="仿宋" w:hAnsi="仿宋" w:eastAsia="仿宋" w:cs="仿宋"/>
          <w:color w:val="auto"/>
          <w:kern w:val="0"/>
          <w:sz w:val="21"/>
          <w:szCs w:val="21"/>
          <w:highlight w:val="none"/>
        </w:rPr>
        <w:t>▲</w:t>
      </w:r>
      <w:r>
        <w:rPr>
          <w:rFonts w:hint="eastAsia" w:ascii="宋体" w:hAnsi="宋体"/>
          <w:b/>
          <w:bCs/>
          <w:sz w:val="21"/>
          <w:szCs w:val="24"/>
        </w:rPr>
        <w:t>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采购最高限价为人民币</w:t>
      </w:r>
      <w:r>
        <w:rPr>
          <w:rFonts w:hint="eastAsia" w:ascii="宋体" w:hAnsi="宋体"/>
          <w:b/>
          <w:bCs/>
          <w:sz w:val="21"/>
          <w:szCs w:val="24"/>
          <w:u w:val="none"/>
          <w:lang w:val="en-US" w:eastAsia="zh-CN"/>
        </w:rPr>
        <w:t>贰拾万元整</w:t>
      </w:r>
      <w:r>
        <w:rPr>
          <w:rFonts w:hint="eastAsia" w:ascii="宋体" w:hAnsi="宋体"/>
          <w:b/>
          <w:bCs/>
          <w:sz w:val="21"/>
          <w:szCs w:val="24"/>
        </w:rPr>
        <w:t>(¥</w:t>
      </w:r>
      <w:r>
        <w:rPr>
          <w:rFonts w:hint="eastAsia" w:ascii="宋体" w:hAnsi="宋体"/>
          <w:b/>
          <w:bCs/>
          <w:sz w:val="21"/>
          <w:szCs w:val="24"/>
          <w:lang w:val="en-US" w:eastAsia="zh-CN"/>
        </w:rPr>
        <w:t>200000元</w:t>
      </w:r>
      <w:r>
        <w:rPr>
          <w:rFonts w:hint="eastAsia" w:ascii="宋体" w:hAnsi="宋体"/>
          <w:b/>
          <w:bCs/>
          <w:sz w:val="21"/>
          <w:szCs w:val="24"/>
        </w:rPr>
        <w:t>)。</w:t>
      </w:r>
    </w:p>
    <w:p>
      <w:pPr>
        <w:pStyle w:val="11"/>
        <w:ind w:firstLine="422" w:firstLineChars="200"/>
        <w:rPr>
          <w:rFonts w:hint="eastAsia" w:ascii="宋体" w:hAnsi="宋体"/>
          <w:b/>
          <w:bCs/>
          <w:sz w:val="21"/>
          <w:szCs w:val="24"/>
          <w:highlight w:val="none"/>
          <w:lang w:eastAsia="zh-CN"/>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w:t>
      </w:r>
      <w:r>
        <w:rPr>
          <w:rFonts w:hint="eastAsia" w:ascii="宋体" w:hAnsi="宋体"/>
          <w:b/>
          <w:bCs/>
          <w:sz w:val="21"/>
          <w:szCs w:val="24"/>
          <w:highlight w:val="none"/>
          <w:lang w:val="en-US" w:eastAsia="zh-CN"/>
        </w:rPr>
        <w:t>工</w:t>
      </w:r>
      <w:r>
        <w:rPr>
          <w:rFonts w:hint="eastAsia" w:ascii="宋体" w:hAnsi="宋体"/>
          <w:b/>
          <w:bCs/>
          <w:sz w:val="21"/>
          <w:szCs w:val="24"/>
          <w:highlight w:val="none"/>
        </w:rPr>
        <w:t>业</w:t>
      </w:r>
      <w:r>
        <w:rPr>
          <w:rFonts w:hint="eastAsia" w:ascii="宋体" w:hAnsi="宋体"/>
          <w:b/>
          <w:bCs/>
          <w:sz w:val="21"/>
          <w:szCs w:val="24"/>
          <w:highlight w:val="none"/>
          <w:lang w:eastAsia="zh-CN"/>
        </w:rPr>
        <w:t>。</w:t>
      </w:r>
    </w:p>
    <w:p>
      <w:pPr>
        <w:pStyle w:val="11"/>
        <w:ind w:firstLine="422" w:firstLineChars="200"/>
        <w:rPr>
          <w:rFonts w:hint="eastAsia" w:ascii="宋体" w:hAnsi="宋体"/>
          <w:b/>
          <w:bCs/>
          <w:sz w:val="21"/>
          <w:szCs w:val="24"/>
          <w:highlight w:val="none"/>
          <w:lang w:eastAsia="zh-CN"/>
        </w:rPr>
      </w:pPr>
    </w:p>
    <w:p>
      <w:pPr>
        <w:jc w:val="center"/>
        <w:rPr>
          <w:rFonts w:hint="eastAsia" w:ascii="宋体" w:hAnsi="宋体" w:eastAsia="宋体"/>
          <w:b/>
          <w:bCs/>
          <w:kern w:val="0"/>
          <w:lang w:eastAsia="zh-CN"/>
        </w:rPr>
      </w:pPr>
      <w:r>
        <w:rPr>
          <w:rFonts w:hint="eastAsia" w:ascii="宋体" w:hAnsi="宋体"/>
          <w:b/>
          <w:bCs/>
          <w:kern w:val="0"/>
        </w:rPr>
        <w:t>项目名称：</w:t>
      </w:r>
      <w:r>
        <w:rPr>
          <w:rFonts w:hint="eastAsia" w:ascii="宋体" w:hAnsi="宋体" w:eastAsia="宋体"/>
          <w:b/>
          <w:bCs/>
          <w:kern w:val="0"/>
          <w:lang w:eastAsia="zh-CN"/>
        </w:rPr>
        <w:t>广西本地节目地面数字电视覆盖网建设（南宁）</w:t>
      </w:r>
    </w:p>
    <w:p>
      <w:pPr>
        <w:jc w:val="center"/>
        <w:rPr>
          <w:rFonts w:hint="default" w:ascii="宋体" w:hAnsi="宋体"/>
          <w:b/>
          <w:bCs/>
          <w:sz w:val="21"/>
          <w:szCs w:val="24"/>
          <w:highlight w:val="none"/>
          <w:lang w:val="en-US" w:eastAsia="zh-CN"/>
        </w:rPr>
      </w:pPr>
      <w:r>
        <w:rPr>
          <w:rFonts w:hint="eastAsia" w:ascii="宋体" w:hAnsi="宋体" w:eastAsia="宋体"/>
          <w:b/>
          <w:bCs/>
          <w:kern w:val="0"/>
          <w:lang w:val="en-US" w:eastAsia="zh-CN"/>
        </w:rPr>
        <w:t>地面数字电视安全播出监测系统</w:t>
      </w:r>
      <w:r>
        <w:rPr>
          <w:rFonts w:hint="eastAsia" w:ascii="宋体" w:hAnsi="宋体"/>
          <w:b/>
          <w:bCs/>
          <w:kern w:val="0"/>
          <w:lang w:val="en-US" w:eastAsia="zh-CN"/>
        </w:rPr>
        <w:t>采购CGSQ-FY202401290041</w:t>
      </w:r>
    </w:p>
    <w:tbl>
      <w:tblPr>
        <w:tblStyle w:val="14"/>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200"/>
        <w:gridCol w:w="394"/>
        <w:gridCol w:w="176"/>
        <w:gridCol w:w="525"/>
        <w:gridCol w:w="930"/>
        <w:gridCol w:w="983"/>
        <w:gridCol w:w="6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0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服务名称</w:t>
            </w:r>
          </w:p>
        </w:tc>
        <w:tc>
          <w:tcPr>
            <w:tcW w:w="570"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5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3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83"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6324"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color w:val="000000"/>
                <w:sz w:val="24"/>
                <w:szCs w:val="20"/>
              </w:rPr>
            </w:pPr>
            <w:r>
              <w:rPr>
                <w:rFonts w:hint="eastAsia"/>
                <w:color w:val="000000"/>
                <w:sz w:val="24"/>
                <w:szCs w:val="20"/>
              </w:rPr>
              <w:t>1</w:t>
            </w:r>
          </w:p>
        </w:tc>
        <w:tc>
          <w:tcPr>
            <w:tcW w:w="1200" w:type="dxa"/>
            <w:vAlign w:val="center"/>
          </w:tcPr>
          <w:p>
            <w:pPr>
              <w:tabs>
                <w:tab w:val="left" w:pos="180"/>
                <w:tab w:val="left" w:pos="1620"/>
              </w:tabs>
              <w:spacing w:line="360" w:lineRule="auto"/>
              <w:jc w:val="center"/>
              <w:rPr>
                <w:color w:val="000000"/>
                <w:sz w:val="24"/>
                <w:szCs w:val="20"/>
              </w:rPr>
            </w:pPr>
            <w:r>
              <w:rPr>
                <w:rFonts w:hint="eastAsia" w:ascii="仿宋" w:hAnsi="仿宋" w:eastAsia="仿宋" w:cs="仿宋"/>
                <w:color w:val="auto"/>
                <w:kern w:val="0"/>
                <w:sz w:val="21"/>
                <w:szCs w:val="21"/>
                <w:highlight w:val="none"/>
              </w:rPr>
              <w:t>CPCI刀片式广播电视监测主控板</w:t>
            </w:r>
          </w:p>
        </w:tc>
        <w:tc>
          <w:tcPr>
            <w:tcW w:w="570" w:type="dxa"/>
            <w:gridSpan w:val="2"/>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3</w:t>
            </w:r>
          </w:p>
        </w:tc>
        <w:tc>
          <w:tcPr>
            <w:tcW w:w="525"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块</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21900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65700</w:t>
            </w:r>
          </w:p>
        </w:tc>
        <w:tc>
          <w:tcPr>
            <w:tcW w:w="6324" w:type="dxa"/>
            <w:vAlign w:val="center"/>
          </w:tcPr>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（一）性能配置要求：</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采用国产嵌入式CPU，安装操作系统及监测应用软件；</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采用插卡式结构，支持热插拔；</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板卡支持 CompactPCI 标准；</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刀片式板卡，板卡参考尺寸:CPCI 标准“160mm*233.35mm”尺寸 (6U 卡)；</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前装载板卡，具有指示灯前面显示板卡运行状态；</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支持 mSATA接口；</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可直接插入mSATA接口固态硬盘，实现本地存储；</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支持 Over IP传输，并支持 PCI 总线传输；</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9</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同时支持 IPv4 和 IPv6 协议；</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sz w:val="21"/>
                <w:szCs w:val="24"/>
                <w:highlight w:val="none"/>
              </w:rPr>
              <w:t>每块板卡至少支持同时对48套节目监测及录像；</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采用贴片工艺，无附加板；</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I/O接口：1×USB 2.0、2×MSATA、1×RS-232</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显示接口：1×HDMI；</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网络输出接口：</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以太网输出口数量：2 个；</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 传输速率：1000Mbps；</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 连接器接口类型：RJ45；</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 数据输出方式：单播、组播</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 xml:space="preserve">配置接口：Web 配置、Telnet 配置 </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调试接口：RS232 数量：1 个</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功耗最大功耗不高于15W。</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(二) 技术功能要求</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广播电视节目实时编码压缩数据的存储,本地保存时间为动态可调。</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技术指标与音视频监测报警功能：当监测到各频率频道在规定播出时段内出现技术指标和音视频层面的播出异态时，监测前端系统能自动报警记录，并实时上传至监测数据处理中心，在数据处理中心以语言、文字和颜色图形报警提示。</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数据实时上传功能将频率频道数据、指标测量数据与节目转码压缩数据等实时上传到监测数据处理中心。</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数据传输保护功能当出现因网络故障而不能实时上传数据(报警、指标测量与内容编码压缩录音等数据)到中心存储系统时，系统在网络恢复后，自动接收中心指令，将这段数据重新上传到中心存储系统。</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广播电视节目内容存储功能能把频率频道的节目内容编码压缩数据全部自动存储起来，供查询。</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频率频道数据的上传、处理、存储与报表打印功能所有频率原始数据经过上传、处理、存储，形成多级别的数据，并以满足监测业务需要，同时报表可预览、打印。</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实时时钟同步前端设备与中心系统的实时时钟同步，保证整网的时间一致性，准确度至少为 1 秒/24 小时。</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故障自检功能具有故障自检功能，故障自检达到板卡芯片级。 在系统、设备层面上监测信号状态和设备运行情况，进一步保障前端系统的可靠运行。</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其它远程控制功能节目信息设置功能、监测报警参数设置功能、远程控制管理功能、监测设备故障报警功能、监测设备异常自动处理功能、远程重启功能、远程存储功能、软件远程升级功能。</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可直接插入广西广播电视监测中心现有监测前端设备机箱使用；</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能与广西广播电视监测中心现有监测前端设备广播电视监测主控板互相备份、直接替换；</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能与广西广播电视监测中心现有的广播电视智慧监测监管平台兼容，无缝对接。</w:t>
            </w:r>
          </w:p>
          <w:p>
            <w:pPr>
              <w:jc w:val="both"/>
              <w:rPr>
                <w:color w:val="000000"/>
                <w:sz w:val="24"/>
                <w:szCs w:val="20"/>
              </w:rPr>
            </w:pPr>
            <w:bookmarkStart w:id="6" w:name="_GoBack"/>
            <w:bookmarkEnd w:id="6"/>
            <w:r>
              <w:rPr>
                <w:rFonts w:hint="eastAsia" w:ascii="仿宋" w:hAnsi="仿宋" w:eastAsia="仿宋" w:cs="仿宋"/>
                <w:color w:val="auto"/>
                <w:kern w:val="0"/>
                <w:sz w:val="21"/>
                <w:szCs w:val="21"/>
                <w:highlight w:val="none"/>
              </w:rPr>
              <w:t>▲13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满足广西地面数字电视监测前端设备技术要求。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2</w:t>
            </w:r>
          </w:p>
        </w:tc>
        <w:tc>
          <w:tcPr>
            <w:tcW w:w="1200" w:type="dxa"/>
            <w:vAlign w:val="center"/>
          </w:tcPr>
          <w:p>
            <w:pPr>
              <w:tabs>
                <w:tab w:val="left" w:pos="180"/>
                <w:tab w:val="left" w:pos="1620"/>
              </w:tabs>
              <w:spacing w:line="360" w:lineRule="auto"/>
              <w:jc w:val="center"/>
              <w:rPr>
                <w:color w:val="000000"/>
                <w:sz w:val="24"/>
                <w:szCs w:val="20"/>
              </w:rPr>
            </w:pPr>
            <w:r>
              <w:rPr>
                <w:rFonts w:hint="eastAsia" w:ascii="仿宋" w:hAnsi="仿宋" w:eastAsia="仿宋" w:cs="仿宋"/>
                <w:color w:val="auto"/>
                <w:kern w:val="0"/>
                <w:sz w:val="21"/>
                <w:szCs w:val="21"/>
                <w:highlight w:val="none"/>
              </w:rPr>
              <w:t>CPCI刀片式DTMB数字电视信号监测板</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3</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块</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20067</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60200</w:t>
            </w:r>
          </w:p>
        </w:tc>
        <w:tc>
          <w:tcPr>
            <w:tcW w:w="6324" w:type="dxa"/>
            <w:vAlign w:val="top"/>
          </w:tcPr>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性能指标要求：</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至少可同时采集监测2个频点以上DTMB数字电视信号；</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 节目一对一监测和轮巡监测两种方式可选；</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▲(3)板卡支持 CompactPCI 标准；</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(4)刀片式板卡，板卡参考尺寸:CPCI 标准“160mm*233.35mm”(6U卡)尺寸；</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(5)后装载板卡，实现后面连接板卡的接口,采用插卡式结构,支持热插拔；</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 视音频响应时间≤2 秒；</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 测量误差：电平测量准确度±2dBμv；</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 频率范围：45MHz-870MHz；</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 射频接口：75Ω  F型接口；</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(10)功率电平测量范围：(40dBμV～110dBμV)；</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功能要求：</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射频层监测功能支持射频层的监测。包括：</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a.射频信号指标测量：可对通道 RF功率电平、载噪比、误码率、MER等射频指标实时监测及报警；</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b.射频指标参数报警：对通道性能指标的参数进行实时比对和报警，并能提供报警阈值设定；信道失锁即监测模块不能够锁定信号时进行报警。</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 TS 流质量监测功能</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a.TR101 290 实时报警:根据 DVB TR101 290 技术规范，进行 1、2、3 级的错误监测。主要有同步丢失、同步字节错、PAT 错、连续记数错、PMT 错、PID 错；传输错、CRC 校验错、PCR 错、PCR 精度错、CAT 错；NIT 错、缓冲器错、未指定的PID 错、EIT 错、SDT 错、RST 错、TDT 错等。</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b.TS 流的基本结构信息监测:能实现 TS 流的基本结构信息监测，包括 TS 流的信息构成、TS 包 的包长、PSI/SI 表的传输间隔、传输流的 ID、PID 的数量、 网络 ID 和网络名称。</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c.码流带宽实时监测:能实现码流带宽分析功能，包括整个 TS 流总码率的最小值、最大值、有效值、当前值、TS 流中每路节目的码率和所 占带宽的比率、PSI/SI 中每个 PES 的码率、空包率和其它数据的码率。</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d.PSI/SI 表的实时监测:能实现对 PSI/SI 表单的解析其中 PSI 包括：PAT(节目关联表)、PMT(节目映射表)、CAT(条件接收表)、NIT(网络信息表)，SI 包括：BAT(业务群关联表)、SDT(业务 描述表)、EIT(时间信息表)、RST(运行状态表)、TDT(时间和 日期表)、TOT(时间偏移表)、ST(填充表)、SIT(选择信息表)、DIT(间断信息表)。</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e.报警参数的设置:能实现对每个监测内容及设定的域值保存成文件，在进行监测或轮巡监测时，将实时监测参数与保存的文件参数做实时的比对，当实际工作参数与此不符或者超出预先设定范围，能自动报警。</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 固定和轮巡监测功能</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a.可实现固定频点中所有节目一对一实时监测；</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b.可实现一个接入点下对多个频点节目进行轮巡监测。如果轮巡到某个频点出现报警的时候， 该监测模块支持自动停止轮巡，一直停留在该频点持续进行监测，直至报警消失，其它监测模块则继续按照配置进行轮巡。</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可直接插入广西广播电视监测中心现有监测前端设备机箱使用；</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能与广西广播电视监测中心现有监测前端设备 DTMB 数字电视信号监测板互相备份、直接替换；</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能与广西广播电视监测中心现有的广播电视智慧监测监管平台兼容，无缝对接。</w:t>
            </w:r>
          </w:p>
          <w:p>
            <w:pPr>
              <w:shd w:val="clear" w:color="auto" w:fill="auto"/>
              <w:spacing w:beforeLines="0" w:afterLines="0"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满足广西地面数字电视监测前端设备技术要求。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3</w:t>
            </w:r>
          </w:p>
        </w:tc>
        <w:tc>
          <w:tcPr>
            <w:tcW w:w="1200" w:type="dxa"/>
            <w:vAlign w:val="center"/>
          </w:tcPr>
          <w:p>
            <w:pPr>
              <w:tabs>
                <w:tab w:val="left" w:pos="180"/>
                <w:tab w:val="left" w:pos="1620"/>
              </w:tabs>
              <w:spacing w:line="360" w:lineRule="auto"/>
              <w:jc w:val="center"/>
              <w:rPr>
                <w:color w:val="000000"/>
                <w:sz w:val="24"/>
                <w:szCs w:val="20"/>
              </w:rPr>
            </w:pPr>
            <w:r>
              <w:rPr>
                <w:rFonts w:hint="eastAsia" w:ascii="仿宋" w:hAnsi="仿宋" w:eastAsia="仿宋" w:cs="仿宋"/>
                <w:color w:val="auto"/>
                <w:kern w:val="0"/>
                <w:sz w:val="21"/>
                <w:szCs w:val="21"/>
                <w:highlight w:val="none"/>
              </w:rPr>
              <w:t>CPCI刀片式DTMB数字电视信号转码板</w:t>
            </w:r>
          </w:p>
        </w:tc>
        <w:tc>
          <w:tcPr>
            <w:tcW w:w="570" w:type="dxa"/>
            <w:gridSpan w:val="2"/>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3</w:t>
            </w:r>
          </w:p>
        </w:tc>
        <w:tc>
          <w:tcPr>
            <w:tcW w:w="525" w:type="dxa"/>
            <w:vAlign w:val="center"/>
          </w:tcPr>
          <w:p>
            <w:pPr>
              <w:tabs>
                <w:tab w:val="left" w:pos="180"/>
                <w:tab w:val="left" w:pos="1620"/>
              </w:tabs>
              <w:spacing w:line="360" w:lineRule="auto"/>
              <w:jc w:val="center"/>
              <w:rPr>
                <w:rFonts w:hint="eastAsia" w:eastAsia="宋体"/>
                <w:color w:val="000000"/>
                <w:sz w:val="24"/>
                <w:szCs w:val="20"/>
                <w:lang w:val="en-US" w:eastAsia="zh-CN"/>
              </w:rPr>
            </w:pPr>
            <w:r>
              <w:rPr>
                <w:rFonts w:hint="eastAsia"/>
                <w:color w:val="000000"/>
                <w:sz w:val="24"/>
                <w:szCs w:val="20"/>
                <w:lang w:val="en-US" w:eastAsia="zh-CN"/>
              </w:rPr>
              <w:t>块</w:t>
            </w:r>
          </w:p>
        </w:tc>
        <w:tc>
          <w:tcPr>
            <w:tcW w:w="930"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24700</w:t>
            </w:r>
          </w:p>
        </w:tc>
        <w:tc>
          <w:tcPr>
            <w:tcW w:w="983" w:type="dxa"/>
            <w:vAlign w:val="center"/>
          </w:tcPr>
          <w:p>
            <w:pPr>
              <w:tabs>
                <w:tab w:val="left" w:pos="180"/>
                <w:tab w:val="left" w:pos="1620"/>
              </w:tabs>
              <w:spacing w:line="360" w:lineRule="auto"/>
              <w:jc w:val="center"/>
              <w:rPr>
                <w:rFonts w:hint="default" w:eastAsia="宋体"/>
                <w:color w:val="000000"/>
                <w:sz w:val="24"/>
                <w:szCs w:val="20"/>
                <w:lang w:val="en-US" w:eastAsia="zh-CN"/>
              </w:rPr>
            </w:pPr>
            <w:r>
              <w:rPr>
                <w:rFonts w:hint="eastAsia"/>
                <w:color w:val="000000"/>
                <w:sz w:val="24"/>
                <w:szCs w:val="20"/>
                <w:lang w:val="en-US" w:eastAsia="zh-CN"/>
              </w:rPr>
              <w:t>74100</w:t>
            </w:r>
          </w:p>
        </w:tc>
        <w:tc>
          <w:tcPr>
            <w:tcW w:w="6324" w:type="dxa"/>
            <w:vAlign w:val="center"/>
          </w:tcPr>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内置视音频编解码处理芯片，满足单板卡支持8-48路高标清视音频信号硬件转码；</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采用插卡式结构，支持热插拔；</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采用ARM嵌入式 CPU，安装操作系统和应用软件；</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板卡支持 CompactPCI 标准；</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同时支持 IPv4 和 IPv6 协议；</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支持 IP 单播/组播流数据传输；</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刀片式板卡，板卡参考尺寸: CPCI 标准“160mm*233.35mm”(6U卡)尺寸；</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支持一对一转码,并支持轮巡转码；</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支持 Over IP传输，并支持 PCI 总线传输；</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性能指标：</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▲(1)视音频响应时间≤2 秒；</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(2)视频解码格式支持：HEVC(H.265)，H.264，AVS+，AVS，MPEG2。</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(3)输入视频格式支持MPEG2/H.264/H.265/AVS+/AVS2, 输入音频格式支持MP2/AAC/AC3/DRA；输出视频格式支持H.264/H.265，输出音频格式支持AAC/MP2/AC3。</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具备对节目的固定和周期性转码功能。对于监测任务中的重要节目，能实现一对一的实时转码。为了节省系统的硬件资源，能实现广播电视节目轮巡转码多套节目；</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内置安全播出监测报警功能，主要功能如下：</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（1）“图像静止”监测报警功能，各频道出现画面静止，系统自动报警并记录，报警门限与延时时间（1-600秒）可调。</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（2）“彩条”监测报警功能，各频道出现彩条，系统自动报警并记录，报警门限与延时时间（1-600秒）可调。</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（3）“黑场”监测报警功能，各频道出现黑场，系统自动报警并记录，报警门限与延时时间（1-600秒）可调。</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（4）“无伴音”监测报警，各频道出现音频静音，系统自动报警并记录，报警门限与延时时间（1-600秒）可调。</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可直接插入广西广播电视监测中心现有监测前端设备机箱使用；</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能与广西广播电视监测中心现有监测前端设备数字电视信号转码板互相备份、直接替换；</w:t>
            </w:r>
          </w:p>
          <w:p>
            <w:pPr>
              <w:shd w:val="clear" w:color="auto" w:fill="auto"/>
              <w:spacing w:beforeLines="0" w:afterLines="0"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能与广西广播电视监测中心现有的广播电视智慧监测监管平台兼容，无缝对接。</w:t>
            </w:r>
          </w:p>
          <w:p>
            <w:pPr>
              <w:jc w:val="both"/>
              <w:rPr>
                <w:color w:val="000000"/>
                <w:sz w:val="24"/>
                <w:szCs w:val="20"/>
              </w:rPr>
            </w:pPr>
            <w:r>
              <w:rPr>
                <w:rFonts w:hint="eastAsia" w:ascii="仿宋" w:hAnsi="仿宋" w:eastAsia="仿宋" w:cs="仿宋"/>
                <w:color w:val="auto"/>
                <w:kern w:val="0"/>
                <w:sz w:val="21"/>
                <w:szCs w:val="21"/>
                <w:highlight w:val="none"/>
              </w:rPr>
              <w:t>▲16</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满足广西地面数字电视监测前端设备技术要求。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 xml:space="preserve">商务要求：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color w:val="000000"/>
                <w:sz w:val="24"/>
                <w:szCs w:val="20"/>
              </w:rPr>
            </w:pPr>
            <w:r>
              <w:rPr>
                <w:rFonts w:hint="eastAsia"/>
                <w:color w:val="000000"/>
                <w:sz w:val="24"/>
                <w:szCs w:val="20"/>
              </w:rPr>
              <w:t>一、合同签订期</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000000"/>
                <w:sz w:val="24"/>
                <w:szCs w:val="20"/>
              </w:rPr>
            </w:pPr>
            <w:r>
              <w:rPr>
                <w:rFonts w:hint="eastAsia" w:ascii="宋体" w:hAnsi="宋体" w:cs="宋体"/>
                <w:bCs/>
                <w:color w:val="000000"/>
                <w:kern w:val="0"/>
                <w:szCs w:val="21"/>
              </w:rPr>
              <w:t>自成交通知书发出之日起10个工作日内。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二、服务期限</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color w:val="000000"/>
                <w:sz w:val="24"/>
                <w:szCs w:val="20"/>
              </w:rPr>
            </w:pPr>
            <w:r>
              <w:rPr>
                <w:rFonts w:hint="eastAsia" w:ascii="仿宋" w:hAnsi="仿宋" w:eastAsia="仿宋" w:cs="仿宋"/>
                <w:color w:val="auto"/>
                <w:kern w:val="0"/>
                <w:sz w:val="21"/>
                <w:szCs w:val="21"/>
                <w:highlight w:val="none"/>
              </w:rPr>
              <w:t>▲</w:t>
            </w:r>
            <w:r>
              <w:rPr>
                <w:rFonts w:hint="eastAsia" w:ascii="宋体" w:hAnsi="宋体" w:cs="宋体"/>
                <w:bCs/>
                <w:color w:val="000000"/>
                <w:kern w:val="0"/>
                <w:szCs w:val="21"/>
              </w:rPr>
              <w:t>自合同签订之日起</w:t>
            </w:r>
            <w:r>
              <w:rPr>
                <w:rFonts w:hint="eastAsia" w:ascii="宋体" w:hAnsi="宋体" w:cs="宋体"/>
                <w:bCs/>
                <w:color w:val="000000"/>
                <w:kern w:val="0"/>
                <w:szCs w:val="21"/>
                <w:lang w:val="en-US" w:eastAsia="zh-CN"/>
              </w:rPr>
              <w:t>3</w:t>
            </w:r>
            <w:r>
              <w:rPr>
                <w:rFonts w:hint="eastAsia" w:ascii="宋体" w:hAnsi="宋体" w:cs="宋体"/>
                <w:bCs/>
                <w:color w:val="000000"/>
                <w:kern w:val="0"/>
                <w:szCs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三、服务要求</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eastAsia="宋体" w:cs="宋体"/>
                <w:bCs/>
                <w:color w:val="000000"/>
                <w:kern w:val="0"/>
                <w:szCs w:val="21"/>
                <w:lang w:eastAsia="zh-CN"/>
              </w:rPr>
            </w:pPr>
            <w:r>
              <w:rPr>
                <w:rFonts w:hint="eastAsia" w:ascii="仿宋" w:hAnsi="仿宋" w:eastAsia="仿宋" w:cs="仿宋"/>
                <w:color w:val="auto"/>
                <w:kern w:val="0"/>
                <w:sz w:val="21"/>
                <w:szCs w:val="21"/>
                <w:highlight w:val="none"/>
              </w:rPr>
              <w:t>▲</w:t>
            </w:r>
            <w:r>
              <w:rPr>
                <w:rFonts w:hint="eastAsia" w:ascii="宋体" w:hAnsi="宋体" w:cs="宋体"/>
                <w:bCs/>
                <w:color w:val="000000"/>
                <w:kern w:val="0"/>
                <w:szCs w:val="21"/>
              </w:rPr>
              <w:t>1、质量保证期：</w:t>
            </w:r>
            <w:r>
              <w:rPr>
                <w:rFonts w:hint="eastAsia"/>
                <w:lang w:val="en-US" w:eastAsia="zh-CN"/>
              </w:rPr>
              <w:t>自验收合格交付使用之日起，质量保证期不少于3年，</w:t>
            </w:r>
            <w:r>
              <w:rPr>
                <w:rFonts w:hint="eastAsia" w:ascii="宋体" w:hAnsi="宋体" w:cs="宋体"/>
                <w:bCs/>
                <w:color w:val="000000"/>
                <w:kern w:val="0"/>
                <w:szCs w:val="21"/>
              </w:rPr>
              <w:t>硬件质量保证期 3 年，软件质保期1年（验收合格交付使用之日起）</w:t>
            </w:r>
            <w:r>
              <w:rPr>
                <w:rFonts w:hint="eastAsia" w:ascii="宋体" w:hAnsi="宋体" w:cs="宋体"/>
                <w:bCs/>
                <w:color w:val="000000"/>
                <w:kern w:val="0"/>
                <w:szCs w:val="21"/>
                <w:lang w:eastAsia="zh-CN"/>
              </w:rPr>
              <w:t>。</w:t>
            </w:r>
          </w:p>
          <w:p>
            <w:pPr>
              <w:adjustRightInd w:val="0"/>
              <w:snapToGrid w:val="0"/>
              <w:spacing w:line="360" w:lineRule="exact"/>
              <w:ind w:firstLine="210" w:firstLineChars="100"/>
              <w:rPr>
                <w:rFonts w:ascii="宋体" w:hAnsi="宋体" w:cs="宋体"/>
                <w:bCs/>
                <w:color w:val="000000"/>
                <w:kern w:val="0"/>
                <w:szCs w:val="21"/>
              </w:rPr>
            </w:pPr>
            <w:r>
              <w:rPr>
                <w:rFonts w:hint="eastAsia" w:ascii="仿宋" w:hAnsi="仿宋" w:eastAsia="仿宋" w:cs="仿宋"/>
                <w:color w:val="auto"/>
                <w:kern w:val="0"/>
                <w:sz w:val="21"/>
                <w:szCs w:val="21"/>
                <w:highlight w:val="none"/>
              </w:rPr>
              <w:t>▲</w:t>
            </w:r>
            <w:r>
              <w:rPr>
                <w:rFonts w:hint="eastAsia" w:ascii="宋体" w:hAnsi="宋体" w:cs="宋体"/>
                <w:bCs/>
                <w:color w:val="000000"/>
                <w:kern w:val="0"/>
                <w:szCs w:val="21"/>
              </w:rPr>
              <w:t>2、质保期内系统维护的范围包括：</w:t>
            </w:r>
            <w:r>
              <w:rPr>
                <w:rFonts w:hint="eastAsia" w:ascii="宋体" w:hAnsi="宋体" w:cs="宋体"/>
                <w:bCs/>
                <w:color w:val="000000"/>
                <w:kern w:val="0"/>
                <w:szCs w:val="21"/>
                <w:lang w:val="en-US" w:eastAsia="zh-CN"/>
              </w:rPr>
              <w:t>设备</w:t>
            </w:r>
            <w:r>
              <w:rPr>
                <w:rFonts w:hint="eastAsia" w:ascii="宋体" w:hAnsi="宋体" w:cs="宋体"/>
                <w:bCs/>
                <w:color w:val="000000"/>
                <w:kern w:val="0"/>
                <w:szCs w:val="21"/>
              </w:rPr>
              <w:t>的正常运行和维护。</w:t>
            </w:r>
          </w:p>
          <w:p>
            <w:pPr>
              <w:adjustRightInd w:val="0"/>
              <w:snapToGrid w:val="0"/>
              <w:spacing w:line="360" w:lineRule="exact"/>
              <w:ind w:firstLine="210" w:firstLineChars="100"/>
              <w:rPr>
                <w:rFonts w:ascii="宋体" w:hAnsi="宋体" w:cs="宋体"/>
                <w:bCs/>
                <w:color w:val="000000"/>
                <w:kern w:val="0"/>
                <w:szCs w:val="21"/>
              </w:rPr>
            </w:pPr>
            <w:r>
              <w:rPr>
                <w:rFonts w:hint="eastAsia" w:ascii="仿宋" w:hAnsi="仿宋" w:eastAsia="仿宋" w:cs="仿宋"/>
                <w:color w:val="auto"/>
                <w:kern w:val="0"/>
                <w:sz w:val="21"/>
                <w:szCs w:val="21"/>
                <w:highlight w:val="none"/>
              </w:rPr>
              <w:t>▲</w:t>
            </w:r>
            <w:r>
              <w:rPr>
                <w:rFonts w:hint="eastAsia" w:ascii="宋体" w:hAnsi="宋体" w:cs="宋体"/>
                <w:bCs/>
                <w:color w:val="000000"/>
                <w:kern w:val="0"/>
                <w:szCs w:val="21"/>
              </w:rPr>
              <w:t>3、质保期内相关零件免费更换服务。</w:t>
            </w:r>
          </w:p>
          <w:p>
            <w:pPr>
              <w:adjustRightInd w:val="0"/>
              <w:snapToGrid w:val="0"/>
              <w:spacing w:line="360" w:lineRule="exact"/>
              <w:ind w:firstLine="210" w:firstLineChars="100"/>
              <w:rPr>
                <w:rFonts w:hint="eastAsia" w:ascii="宋体" w:hAnsi="宋体" w:cs="宋体"/>
                <w:bCs/>
                <w:color w:val="000000"/>
                <w:kern w:val="0"/>
                <w:szCs w:val="21"/>
              </w:rPr>
            </w:pPr>
            <w:r>
              <w:rPr>
                <w:rFonts w:hint="eastAsia" w:ascii="仿宋" w:hAnsi="仿宋" w:eastAsia="仿宋" w:cs="仿宋"/>
                <w:color w:val="auto"/>
                <w:kern w:val="0"/>
                <w:sz w:val="21"/>
                <w:szCs w:val="21"/>
                <w:highlight w:val="none"/>
              </w:rPr>
              <w:t>▲</w:t>
            </w:r>
            <w:r>
              <w:rPr>
                <w:rFonts w:hint="eastAsia" w:ascii="宋体" w:hAnsi="宋体" w:cs="宋体"/>
                <w:bCs/>
                <w:color w:val="000000"/>
                <w:kern w:val="0"/>
                <w:szCs w:val="21"/>
              </w:rPr>
              <w:t>4、处理问题响应时间：接到采购人处理问题通知后2个小时内到达采购人指定现场。</w:t>
            </w:r>
          </w:p>
          <w:p>
            <w:pPr>
              <w:adjustRightInd w:val="0"/>
              <w:snapToGrid w:val="0"/>
              <w:spacing w:line="360" w:lineRule="exact"/>
              <w:ind w:firstLine="210" w:firstLineChars="100"/>
            </w:pPr>
            <w:r>
              <w:rPr>
                <w:rFonts w:hint="eastAsia" w:ascii="仿宋" w:hAnsi="仿宋" w:eastAsia="仿宋" w:cs="仿宋"/>
                <w:color w:val="auto"/>
                <w:kern w:val="0"/>
                <w:sz w:val="21"/>
                <w:szCs w:val="21"/>
                <w:highlight w:val="none"/>
              </w:rPr>
              <w:t>▲</w:t>
            </w:r>
            <w:r>
              <w:rPr>
                <w:rFonts w:hint="eastAsia" w:ascii="宋体" w:hAnsi="宋体" w:eastAsia="仿宋" w:cs="宋体"/>
                <w:bCs/>
                <w:color w:val="000000"/>
                <w:kern w:val="0"/>
                <w:szCs w:val="21"/>
                <w:lang w:val="en-US" w:eastAsia="zh-CN"/>
              </w:rPr>
              <w:t>5</w:t>
            </w:r>
            <w:r>
              <w:rPr>
                <w:rFonts w:hint="eastAsia" w:ascii="宋体" w:hAnsi="宋体" w:cs="宋体"/>
                <w:bCs/>
                <w:color w:val="000000"/>
                <w:kern w:val="0"/>
                <w:szCs w:val="21"/>
              </w:rPr>
              <w:t>、</w:t>
            </w:r>
            <w:r>
              <w:rPr>
                <w:rFonts w:hint="eastAsia" w:ascii="宋体" w:hAnsi="宋体" w:cs="宋体"/>
                <w:bCs/>
                <w:color w:val="000000"/>
                <w:kern w:val="0"/>
                <w:szCs w:val="21"/>
                <w:lang w:eastAsia="zh-CN"/>
              </w:rPr>
              <w:t>设备安装地点见附件</w:t>
            </w:r>
            <w:r>
              <w:rPr>
                <w:rFonts w:hint="eastAsia" w:ascii="宋体" w:hAnsi="宋体" w:cs="宋体"/>
                <w:bCs/>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四、付款方式</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6"/>
              <w:ind w:left="210" w:leftChars="100" w:firstLine="420" w:firstLineChars="200"/>
              <w:rPr>
                <w:color w:val="000000"/>
                <w:sz w:val="24"/>
                <w:szCs w:val="20"/>
              </w:rPr>
            </w:pPr>
            <w:r>
              <w:rPr>
                <w:rFonts w:hint="eastAsia" w:ascii="仿宋" w:hAnsi="仿宋" w:eastAsia="仿宋" w:cs="仿宋"/>
                <w:color w:val="auto"/>
                <w:kern w:val="0"/>
                <w:sz w:val="21"/>
                <w:szCs w:val="21"/>
                <w:highlight w:val="none"/>
              </w:rPr>
              <w:t>▲</w:t>
            </w:r>
            <w:r>
              <w:rPr>
                <w:rFonts w:hint="eastAsia" w:ascii="宋体" w:hAnsi="宋体" w:cs="宋体"/>
                <w:color w:val="000000"/>
                <w:sz w:val="21"/>
                <w:szCs w:val="16"/>
              </w:rPr>
              <w:t>签订合同后，货物安装调试完毕试运行正常后，采购人支付中标人合同总价90%合同款；设备正常试运行满6个月后，中标人可提出验收申请，经验收合格后采购人凭中标人提交的验收合格证明，采购人支付中标人合同总价10%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7" w:hRule="atLeast"/>
          <w:jc w:val="center"/>
        </w:trPr>
        <w:tc>
          <w:tcPr>
            <w:tcW w:w="1912"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40" w:firstLineChars="100"/>
              <w:jc w:val="left"/>
              <w:rPr>
                <w:color w:val="000000"/>
                <w:sz w:val="24"/>
                <w:szCs w:val="20"/>
              </w:rPr>
            </w:pPr>
            <w:r>
              <w:rPr>
                <w:rFonts w:hint="eastAsia"/>
                <w:color w:val="000000"/>
                <w:sz w:val="24"/>
                <w:szCs w:val="20"/>
              </w:rPr>
              <w:t>五、其他要求</w:t>
            </w:r>
          </w:p>
        </w:tc>
        <w:tc>
          <w:tcPr>
            <w:tcW w:w="8938"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widowControl w:val="0"/>
              <w:suppressLineNumbers w:val="0"/>
              <w:shd w:val="clear" w:color="auto" w:fill="auto"/>
              <w:spacing w:before="0" w:beforeAutospacing="0" w:after="0" w:afterAutospacing="0" w:line="400" w:lineRule="exact"/>
              <w:ind w:right="0" w:firstLine="210" w:firstLineChars="100"/>
              <w:jc w:val="both"/>
              <w:rPr>
                <w:rFonts w:hint="eastAsia"/>
                <w:lang w:val="en-US" w:eastAsia="zh-CN"/>
              </w:rPr>
            </w:pPr>
            <w:r>
              <w:rPr>
                <w:rFonts w:hint="eastAsia"/>
                <w:lang w:val="en-US" w:eastAsia="zh-CN"/>
              </w:rPr>
              <w:t>一、合同签订期：自中标通知书发出之日起15日内。</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▲二、投标报价：本项目为固定总价合同，投标报价为采购人指定地点的现场交货价，包括：</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1、货物的价格：包括货款、现场安装调试及验收费；</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2、货物的标准附件、备品备件、专用工具的价格；</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3、运输、二次运输、装卸、培训、技术支持、售后服务费；</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4、保险费和各项税金、决算审计等费用。</w:t>
            </w:r>
          </w:p>
          <w:p>
            <w:pPr>
              <w:adjustRightInd w:val="0"/>
              <w:snapToGrid w:val="0"/>
              <w:spacing w:line="360" w:lineRule="exact"/>
              <w:ind w:firstLine="420" w:firstLineChars="2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5、涉及人员的报酬、各项税金等及其他国家规定相关费用；</w:t>
            </w:r>
          </w:p>
          <w:p>
            <w:pPr>
              <w:adjustRightInd w:val="0"/>
              <w:snapToGrid w:val="0"/>
              <w:spacing w:line="360" w:lineRule="exact"/>
              <w:ind w:firstLine="420" w:firstLineChars="2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6、投标人的纳税人类别和增值税率，增值税发票票种；</w:t>
            </w:r>
          </w:p>
          <w:p>
            <w:pPr>
              <w:adjustRightInd w:val="0"/>
              <w:snapToGrid w:val="0"/>
              <w:spacing w:line="360" w:lineRule="exact"/>
              <w:ind w:firstLine="420" w:firstLineChars="200"/>
              <w:rPr>
                <w:rFonts w:hint="eastAsia"/>
                <w:lang w:val="en-US" w:eastAsia="zh-CN"/>
              </w:rPr>
            </w:pPr>
            <w:r>
              <w:rPr>
                <w:rFonts w:hint="eastAsia" w:ascii="宋体" w:hAnsi="宋体" w:cs="宋体"/>
                <w:bCs/>
                <w:color w:val="000000"/>
                <w:kern w:val="0"/>
                <w:szCs w:val="21"/>
                <w:lang w:val="en-US" w:eastAsia="zh-CN"/>
              </w:rPr>
              <w:t>7、培训、技术支持、售后服务、更新升级等费用。</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▲三、交货时间：发射机、控制器等交货时间为：自合同签订生效之日起30个日历日内完成安装调试。</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▲四、交货地点：南宁市、县所在地（见附件1）。</w:t>
            </w:r>
          </w:p>
          <w:p>
            <w:pPr>
              <w:keepNext w:val="0"/>
              <w:keepLines w:val="0"/>
              <w:widowControl w:val="0"/>
              <w:suppressLineNumbers w:val="0"/>
              <w:shd w:val="clear" w:color="auto" w:fill="auto"/>
              <w:spacing w:before="0" w:beforeAutospacing="0" w:after="0" w:afterAutospacing="0" w:line="400" w:lineRule="exact"/>
              <w:ind w:right="0"/>
              <w:jc w:val="both"/>
              <w:rPr>
                <w:rFonts w:hint="eastAsia"/>
                <w:lang w:val="en-US" w:eastAsia="zh-CN"/>
              </w:rPr>
            </w:pPr>
            <w:r>
              <w:rPr>
                <w:rFonts w:hint="eastAsia"/>
                <w:lang w:val="en-US" w:eastAsia="zh-CN"/>
              </w:rPr>
              <w:t>▲五、售后技术服务要求：</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1、按厂家承诺实行“三包”；在质量保证期内，出现质量问题，负责保修（运输、保险、材料、维修等费用全免）。一旦发生故障，要求2小时内响应，24小时内解决故障，否则提供同档次替代品。三管塔部分质保期内，设备发生采购人无能力处理和修复的故障时，中标人应在接到故障通知后48小时内派技术人员到达现场处理。</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2、安装要求：货物运送至指定地点后，完成相关产品的安装工作（所需材料由中标人负责、采购人负责指定安装位置）。</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3、安装调试及保修期间中标人往返人员的差旅费、食宿费等相关费用均由中标人自行负责。</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4、中标人在交货时间内对采购人进行中标产品的技术培训，培训内容包括产品安装调试及使用，时间不少于16学时（每课时不少于45分钟），采购人指定地点。</w:t>
            </w:r>
          </w:p>
          <w:p>
            <w:pPr>
              <w:keepNext w:val="0"/>
              <w:keepLines w:val="0"/>
              <w:widowControl w:val="0"/>
              <w:suppressLineNumbers w:val="0"/>
              <w:shd w:val="clear" w:color="auto" w:fill="auto"/>
              <w:spacing w:before="0" w:beforeAutospacing="0" w:after="0" w:afterAutospacing="0" w:line="400" w:lineRule="exact"/>
              <w:ind w:right="0" w:firstLine="420" w:firstLineChars="200"/>
              <w:jc w:val="both"/>
              <w:rPr>
                <w:rFonts w:hint="eastAsia"/>
                <w:lang w:val="en-US" w:eastAsia="zh-CN"/>
              </w:rPr>
            </w:pPr>
            <w:r>
              <w:rPr>
                <w:rFonts w:hint="eastAsia"/>
                <w:lang w:val="en-US" w:eastAsia="zh-CN"/>
              </w:rPr>
              <w:t>4、超过质量保证期后的机器设备，终生维修，维修时只收取成本费。</w:t>
            </w:r>
          </w:p>
          <w:p>
            <w:pPr>
              <w:pStyle w:val="6"/>
              <w:rPr>
                <w:rFonts w:hint="eastAsia"/>
                <w:sz w:val="21"/>
                <w:szCs w:val="21"/>
                <w:lang w:val="en-US" w:eastAsia="zh-CN"/>
              </w:rPr>
            </w:pPr>
            <w:r>
              <w:rPr>
                <w:rFonts w:hint="eastAsia"/>
              </w:rPr>
              <w:t>▲</w:t>
            </w:r>
            <w:r>
              <w:rPr>
                <w:rFonts w:hint="eastAsia"/>
                <w:sz w:val="21"/>
                <w:szCs w:val="21"/>
                <w:lang w:val="en-US" w:eastAsia="zh-CN"/>
              </w:rPr>
              <w:t>六、验收标准：</w:t>
            </w:r>
          </w:p>
          <w:p>
            <w:pPr>
              <w:pStyle w:val="6"/>
              <w:rPr>
                <w:rFonts w:hint="eastAsia"/>
                <w:sz w:val="21"/>
                <w:szCs w:val="21"/>
                <w:lang w:val="en-US" w:eastAsia="zh-CN"/>
              </w:rPr>
            </w:pPr>
            <w:r>
              <w:rPr>
                <w:rFonts w:hint="eastAsia"/>
                <w:sz w:val="21"/>
                <w:szCs w:val="21"/>
                <w:lang w:val="en-US" w:eastAsia="zh-CN"/>
              </w:rPr>
              <w:t>1、采购人对中标人提交的货物依据招标文件上的技术规格要求和国家有关质量标准进行现场签收，外观、说明书、及各项功能符合招标文件技术要求的，给予签收，不合格的不予签收。</w:t>
            </w:r>
          </w:p>
          <w:p>
            <w:pPr>
              <w:pStyle w:val="6"/>
              <w:rPr>
                <w:rFonts w:hint="eastAsia"/>
                <w:sz w:val="21"/>
                <w:szCs w:val="21"/>
                <w:lang w:val="en-US" w:eastAsia="zh-CN"/>
              </w:rPr>
            </w:pPr>
            <w:r>
              <w:rPr>
                <w:rFonts w:hint="eastAsia"/>
                <w:sz w:val="21"/>
                <w:szCs w:val="21"/>
                <w:lang w:val="en-US" w:eastAsia="zh-CN"/>
              </w:rPr>
              <w:t>2、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pPr>
              <w:pStyle w:val="6"/>
              <w:rPr>
                <w:rFonts w:hint="eastAsia"/>
                <w:sz w:val="21"/>
                <w:szCs w:val="21"/>
                <w:lang w:val="en-US" w:eastAsia="zh-CN"/>
              </w:rPr>
            </w:pPr>
            <w:r>
              <w:rPr>
                <w:rFonts w:hint="eastAsia"/>
                <w:sz w:val="21"/>
                <w:szCs w:val="21"/>
                <w:lang w:val="en-US" w:eastAsia="zh-CN"/>
              </w:rPr>
              <w:t>3、中标人需负责安装、调试（测试），并培训采购人的使用操作人员，直到设备符合技术要求，采购人方可验收。</w:t>
            </w:r>
          </w:p>
          <w:p>
            <w:pPr>
              <w:pStyle w:val="6"/>
              <w:rPr>
                <w:rFonts w:hint="eastAsia"/>
                <w:sz w:val="21"/>
                <w:szCs w:val="21"/>
                <w:lang w:val="en-US" w:eastAsia="zh-CN"/>
              </w:rPr>
            </w:pPr>
            <w:r>
              <w:rPr>
                <w:rFonts w:hint="eastAsia"/>
                <w:sz w:val="21"/>
                <w:szCs w:val="21"/>
                <w:lang w:val="en-US" w:eastAsia="zh-CN"/>
              </w:rPr>
              <w:t>4、采购人组织验收，中标人需到场配合，验收合格后双方签署验收合格凭证。</w:t>
            </w:r>
          </w:p>
          <w:p>
            <w:pPr>
              <w:pStyle w:val="6"/>
              <w:rPr>
                <w:rFonts w:hint="eastAsia"/>
                <w:sz w:val="21"/>
                <w:szCs w:val="21"/>
                <w:lang w:val="en-US" w:eastAsia="zh-CN"/>
              </w:rPr>
            </w:pPr>
            <w:r>
              <w:rPr>
                <w:rFonts w:hint="eastAsia"/>
                <w:sz w:val="21"/>
                <w:szCs w:val="21"/>
                <w:lang w:val="en-US" w:eastAsia="zh-CN"/>
              </w:rPr>
              <w:t>5、其他未尽事宜应严格按照《关于印发广西壮族自治区政府采购项目履约验收管理办法的通知》[桂财采〔2015〕22号]以及《财政部关于进一步加强政府采购需求和履约验收管理的指导意见》[财库〔2016〕205号]规定执行。</w:t>
            </w:r>
          </w:p>
          <w:p>
            <w:pPr>
              <w:pStyle w:val="6"/>
              <w:rPr>
                <w:rFonts w:hint="eastAsia"/>
                <w:sz w:val="21"/>
                <w:szCs w:val="21"/>
                <w:lang w:val="en-US" w:eastAsia="zh-CN"/>
              </w:rPr>
            </w:pPr>
            <w:r>
              <w:rPr>
                <w:rFonts w:hint="eastAsia"/>
                <w:sz w:val="21"/>
                <w:szCs w:val="21"/>
                <w:lang w:val="en-US" w:eastAsia="zh-CN"/>
              </w:rPr>
              <w:t>6、验收产生的费用中标人负责（包含第三方测试费）。</w:t>
            </w:r>
          </w:p>
          <w:p>
            <w:pPr>
              <w:adjustRightInd w:val="0"/>
              <w:snapToGrid w:val="0"/>
              <w:spacing w:line="360" w:lineRule="exact"/>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7、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rPr>
                <w:rFonts w:hint="eastAsia"/>
                <w:lang w:val="en-US" w:eastAsia="zh-CN"/>
              </w:rPr>
            </w:pPr>
          </w:p>
          <w:p>
            <w:pPr>
              <w:pStyle w:val="6"/>
            </w:pPr>
          </w:p>
        </w:tc>
      </w:tr>
    </w:tbl>
    <w:p>
      <w:pPr>
        <w:pStyle w:val="6"/>
        <w:jc w:val="center"/>
        <w:rPr>
          <w:rFonts w:hint="eastAsia"/>
          <w:b/>
          <w:sz w:val="36"/>
        </w:rPr>
      </w:pPr>
    </w:p>
    <w:p>
      <w:pPr>
        <w:pStyle w:val="6"/>
        <w:jc w:val="center"/>
        <w:rPr>
          <w:rFonts w:hint="eastAsia"/>
          <w:b/>
          <w:sz w:val="36"/>
        </w:rPr>
      </w:pPr>
    </w:p>
    <w:p>
      <w:pPr>
        <w:rPr>
          <w:rFonts w:hint="eastAsia"/>
          <w:b/>
          <w:sz w:val="36"/>
        </w:rPr>
      </w:pPr>
      <w:r>
        <w:rPr>
          <w:rFonts w:hint="eastAsia"/>
          <w:b/>
          <w:sz w:val="36"/>
        </w:rP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rPr>
          <w:color w:val="auto"/>
        </w:rPr>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rPr>
          <w:color w:val="auto"/>
          <w:highlight w:val="none"/>
        </w:rPr>
      </w:pPr>
      <w:r>
        <w:rPr>
          <w:rFonts w:hint="eastAsia"/>
          <w:color w:val="auto"/>
          <w:highlight w:val="none"/>
          <w:lang w:val="en-US" w:eastAsia="zh-CN"/>
        </w:rPr>
        <w:t xml:space="preserve"> </w:t>
      </w:r>
      <w:r>
        <w:rPr>
          <w:b/>
          <w:bCs/>
          <w:color w:val="auto"/>
          <w:highlight w:val="none"/>
        </w:rPr>
        <w:t>评标价</w:t>
      </w:r>
      <w:r>
        <w:rPr>
          <w:rFonts w:hint="eastAsia"/>
          <w:b/>
          <w:bCs/>
          <w:color w:val="auto"/>
          <w:highlight w:val="none"/>
        </w:rPr>
        <w:t>政府采购政策性扣除</w:t>
      </w:r>
      <w:r>
        <w:rPr>
          <w:rFonts w:hint="eastAsia"/>
          <w:color w:val="auto"/>
          <w:highlight w:val="none"/>
        </w:rPr>
        <w:t>（如属于专门面向中小型企业采购项目，不再进行政策扣除）。</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.评标价</w:t>
      </w:r>
      <w:r>
        <w:rPr>
          <w:rFonts w:hint="eastAsia" w:ascii="宋体" w:hAnsi="宋体" w:cs="宋体"/>
          <w:color w:val="000000"/>
          <w:szCs w:val="21"/>
        </w:rPr>
        <w:t>为供应商的</w:t>
      </w:r>
      <w:r>
        <w:rPr>
          <w:rFonts w:hint="eastAsia" w:ascii="宋体" w:hAnsi="宋体" w:cs="宋体"/>
          <w:color w:val="000000"/>
          <w:szCs w:val="21"/>
          <w:lang w:val="en-US" w:eastAsia="zh-CN"/>
        </w:rPr>
        <w:t>投标</w:t>
      </w:r>
      <w:r>
        <w:rPr>
          <w:rFonts w:hint="eastAsia" w:ascii="宋体" w:hAnsi="宋体" w:cs="宋体"/>
          <w:color w:val="000000"/>
          <w:szCs w:val="21"/>
        </w:rPr>
        <w:t>报价进行政策性扣除后的价格，</w:t>
      </w:r>
      <w:r>
        <w:rPr>
          <w:rFonts w:hint="eastAsia" w:ascii="宋体" w:hAnsi="宋体" w:cs="宋体"/>
          <w:color w:val="000000"/>
          <w:szCs w:val="21"/>
          <w:lang w:eastAsia="zh-CN"/>
        </w:rPr>
        <w:t>评标价</w:t>
      </w:r>
      <w:r>
        <w:rPr>
          <w:rFonts w:hint="eastAsia" w:ascii="宋体" w:hAnsi="宋体" w:cs="宋体"/>
          <w:color w:val="000000"/>
          <w:szCs w:val="21"/>
        </w:rPr>
        <w:t>只是作为评审时使用。最终成交供应商的成交金额等于</w:t>
      </w:r>
      <w:r>
        <w:rPr>
          <w:rFonts w:hint="eastAsia" w:ascii="宋体" w:hAnsi="宋体" w:cs="宋体"/>
          <w:color w:val="000000"/>
          <w:szCs w:val="21"/>
          <w:lang w:val="en-US" w:eastAsia="zh-CN"/>
        </w:rPr>
        <w:t>投标</w:t>
      </w:r>
      <w:r>
        <w:rPr>
          <w:rFonts w:hint="eastAsia" w:ascii="宋体" w:hAnsi="宋体" w:cs="宋体"/>
          <w:color w:val="000000"/>
          <w:szCs w:val="21"/>
        </w:rPr>
        <w:t>报价（如有修正，以确认修正后的</w:t>
      </w:r>
      <w:r>
        <w:rPr>
          <w:rFonts w:hint="eastAsia" w:ascii="宋体" w:hAnsi="宋体" w:cs="宋体"/>
          <w:color w:val="000000"/>
          <w:szCs w:val="21"/>
          <w:lang w:val="en-US" w:eastAsia="zh-CN"/>
        </w:rPr>
        <w:t>投标</w:t>
      </w:r>
      <w:r>
        <w:rPr>
          <w:rFonts w:hint="eastAsia" w:ascii="宋体" w:hAnsi="宋体" w:cs="宋体"/>
          <w:color w:val="000000"/>
          <w:szCs w:val="21"/>
        </w:rPr>
        <w:t>报价为准）。</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rPr>
        <w:t>政策性扣除计算方法。</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根据《政府采购促进中小企业发展管理办法》（财库〔2020〕46号）的规定，供应商在其响应文件中提供《中小企业声明函》，</w:t>
      </w:r>
      <w:r>
        <w:rPr>
          <w:rFonts w:hint="eastAsia" w:ascii="宋体" w:hAnsi="宋体" w:cs="宋体"/>
          <w:bCs/>
          <w:color w:val="000000"/>
          <w:szCs w:val="21"/>
        </w:rPr>
        <w:t>且其竞标全部货物均由小微企业提供的</w:t>
      </w:r>
      <w:r>
        <w:rPr>
          <w:rFonts w:hint="eastAsia" w:ascii="宋体" w:hAnsi="宋体" w:cs="宋体"/>
          <w:color w:val="000000"/>
          <w:szCs w:val="21"/>
        </w:rPr>
        <w:t>，</w:t>
      </w:r>
      <w:r>
        <w:rPr>
          <w:rFonts w:hint="eastAsia" w:ascii="宋体" w:hAnsi="宋体" w:cs="宋体"/>
          <w:bCs/>
          <w:color w:val="000000"/>
          <w:szCs w:val="21"/>
        </w:rPr>
        <w:t>对供应商的竞标报价给予20%的扣除，扣除后的价格为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000000"/>
          <w:szCs w:val="21"/>
          <w:u w:val="single"/>
        </w:rPr>
        <w:t xml:space="preserve">4% </w:t>
      </w:r>
      <w:r>
        <w:rPr>
          <w:rFonts w:hint="eastAsia" w:ascii="宋体" w:hAnsi="宋体" w:cs="宋体"/>
          <w:bCs/>
          <w:color w:val="000000"/>
          <w:szCs w:val="21"/>
        </w:rPr>
        <w:t>（范围为4%-6%） 的扣除，用扣除后的价格参加评审，扣除后的价格为</w:t>
      </w:r>
      <w:r>
        <w:rPr>
          <w:rFonts w:hint="eastAsia" w:ascii="宋体" w:hAnsi="宋体" w:cs="宋体"/>
          <w:bCs/>
          <w:color w:val="000000"/>
          <w:szCs w:val="21"/>
          <w:lang w:eastAsia="zh-CN"/>
        </w:rPr>
        <w:t>评标价</w:t>
      </w:r>
      <w:r>
        <w:rPr>
          <w:rFonts w:hint="eastAsia" w:ascii="宋体" w:hAnsi="宋体" w:cs="宋体"/>
          <w:bCs/>
          <w:color w:val="000000"/>
          <w:szCs w:val="21"/>
        </w:rPr>
        <w:t>，即</w:t>
      </w:r>
      <w:r>
        <w:rPr>
          <w:rFonts w:hint="eastAsia" w:ascii="宋体" w:hAnsi="宋体" w:cs="宋体"/>
          <w:bCs/>
          <w:color w:val="000000"/>
          <w:szCs w:val="21"/>
          <w:lang w:eastAsia="zh-CN"/>
        </w:rPr>
        <w:t>评标价</w:t>
      </w:r>
      <w:r>
        <w:rPr>
          <w:rFonts w:hint="eastAsia" w:ascii="宋体" w:hAnsi="宋体" w:cs="宋体"/>
          <w:bCs/>
          <w:color w:val="000000"/>
          <w:szCs w:val="21"/>
        </w:rPr>
        <w:t>=竞标报价×（1-</w:t>
      </w:r>
      <w:r>
        <w:rPr>
          <w:rFonts w:hint="eastAsia" w:ascii="宋体" w:hAnsi="宋体" w:cs="宋体"/>
          <w:bCs/>
          <w:color w:val="000000"/>
          <w:szCs w:val="21"/>
          <w:u w:val="single"/>
        </w:rPr>
        <w:t xml:space="preserve">4% </w:t>
      </w:r>
      <w:r>
        <w:rPr>
          <w:rFonts w:hint="eastAsia" w:ascii="宋体" w:hAnsi="宋体" w:cs="宋体"/>
          <w:bCs/>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000000"/>
        </w:rPr>
      </w:pPr>
      <w:r>
        <w:rPr>
          <w:rFonts w:hint="eastAsia" w:ascii="宋体" w:hAnsi="宋体" w:cs="宋体"/>
          <w:color w:val="000000"/>
          <w:szCs w:val="21"/>
        </w:rPr>
        <w:t>4</w:t>
      </w:r>
      <w:r>
        <w:rPr>
          <w:rFonts w:hint="eastAsia" w:ascii="宋体" w:hAnsi="宋体" w:cs="宋体"/>
          <w:color w:val="000000"/>
          <w:szCs w:val="21"/>
          <w:lang w:eastAsia="zh-CN"/>
        </w:rPr>
        <w:t>.</w:t>
      </w:r>
      <w:r>
        <w:rPr>
          <w:rFonts w:hint="eastAsia" w:ascii="宋体" w:hAnsi="宋体" w:cs="宋体"/>
          <w:color w:val="000000"/>
          <w:szCs w:val="21"/>
        </w:rPr>
        <w:t>按照《关于促进残疾人就业政府采购政策的通知》（财库〔2017〕141号）的规定，残疾人福利性单位视同小型、微型企业，享受预留份额、评审中价格扣除等</w:t>
      </w:r>
      <w:r>
        <w:rPr>
          <w:rFonts w:hint="eastAsia" w:ascii="宋体" w:hAnsi="宋体" w:cs="宋体"/>
          <w:color w:val="000000"/>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pPr>
      <w:r>
        <w:rPr>
          <w:rFonts w:hint="eastAsia" w:ascii="宋体" w:hAnsi="宋体" w:cs="宋体"/>
          <w:color w:val="000000"/>
        </w:rPr>
        <w:t>5</w:t>
      </w:r>
      <w:r>
        <w:rPr>
          <w:rFonts w:hint="eastAsia" w:ascii="宋体" w:hAnsi="宋体" w:cs="宋体"/>
          <w:color w:val="000000"/>
          <w:lang w:eastAsia="zh-CN"/>
        </w:rPr>
        <w:t>.</w:t>
      </w:r>
      <w:r>
        <w:rPr>
          <w:rFonts w:hint="eastAsia" w:ascii="宋体" w:hAnsi="宋体" w:cs="宋体"/>
          <w:color w:val="000000"/>
        </w:rPr>
        <w:t>除上述情况外，</w:t>
      </w:r>
      <w:r>
        <w:rPr>
          <w:rFonts w:hint="eastAsia" w:ascii="宋体" w:hAnsi="宋体" w:cs="宋体"/>
          <w:color w:val="000000"/>
          <w:lang w:eastAsia="zh-CN"/>
        </w:rPr>
        <w:t>评标价</w:t>
      </w:r>
      <w:r>
        <w:rPr>
          <w:rFonts w:hint="eastAsia" w:ascii="宋体" w:hAnsi="宋体" w:cs="宋体"/>
          <w:color w:val="000000"/>
        </w:rPr>
        <w:t>＝最后报价。</w:t>
      </w:r>
    </w:p>
    <w:p>
      <w:pPr>
        <w:pStyle w:val="10"/>
        <w:spacing w:line="440" w:lineRule="exact"/>
        <w:jc w:val="center"/>
        <w:rPr>
          <w:rFonts w:ascii="Times New Roman" w:hAnsi="Times New Roman"/>
          <w:b/>
          <w:sz w:val="36"/>
        </w:rPr>
      </w:pPr>
    </w:p>
    <w:p>
      <w:pPr>
        <w:pStyle w:val="10"/>
        <w:spacing w:line="440" w:lineRule="exact"/>
        <w:jc w:val="center"/>
        <w:rPr>
          <w:rFonts w:hint="eastAsia" w:ascii="Times New Roman" w:hAnsi="Times New Roman"/>
          <w:b/>
          <w:sz w:val="36"/>
        </w:rPr>
      </w:pPr>
      <w:bookmarkStart w:id="2" w:name="_Toc532545044"/>
    </w:p>
    <w:p>
      <w:pPr>
        <w:pStyle w:val="10"/>
        <w:spacing w:line="440" w:lineRule="exact"/>
        <w:jc w:val="center"/>
        <w:rPr>
          <w:rFonts w:hint="eastAsia" w:ascii="Times New Roman" w:hAnsi="Times New Roman"/>
          <w:b/>
          <w:sz w:val="36"/>
        </w:rPr>
      </w:pPr>
    </w:p>
    <w:p>
      <w:pPr>
        <w:pStyle w:val="10"/>
        <w:spacing w:line="440" w:lineRule="exact"/>
        <w:jc w:val="center"/>
        <w:rPr>
          <w:rFonts w:hint="eastAsia"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677"/>
      <w:bookmarkStart w:id="5" w:name="_Toc254970536"/>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3"/>
        <w:ind w:left="0" w:leftChars="0" w:firstLine="210" w:firstLineChars="100"/>
        <w:rPr>
          <w:rFonts w:hint="default" w:eastAsia="宋体"/>
          <w:lang w:val="en-US" w:eastAsia="zh-CN"/>
        </w:rPr>
      </w:pPr>
      <w:r>
        <w:rPr>
          <w:rFonts w:hint="eastAsia" w:hAnsi="宋体"/>
          <w:b w:val="0"/>
          <w:bCs/>
          <w:szCs w:val="21"/>
          <w:lang w:eastAsia="zh-CN"/>
        </w:rPr>
        <w:t>（</w:t>
      </w:r>
      <w:r>
        <w:rPr>
          <w:rFonts w:hint="eastAsia" w:hAnsi="宋体"/>
          <w:b w:val="0"/>
          <w:bCs/>
          <w:szCs w:val="21"/>
          <w:lang w:val="en-US" w:eastAsia="zh-CN"/>
        </w:rPr>
        <w:t>6</w:t>
      </w:r>
      <w:r>
        <w:rPr>
          <w:rFonts w:hint="eastAsia" w:hAnsi="宋体"/>
          <w:b w:val="0"/>
          <w:bCs/>
          <w:szCs w:val="21"/>
          <w:lang w:eastAsia="zh-CN"/>
        </w:rPr>
        <w:t>）</w:t>
      </w:r>
      <w:r>
        <w:rPr>
          <w:rFonts w:hint="eastAsia" w:hAnsi="宋体"/>
          <w:b w:val="0"/>
          <w:bCs/>
          <w:szCs w:val="21"/>
          <w:lang w:val="en-US" w:eastAsia="zh-CN"/>
        </w:rPr>
        <w:t>中小企业声明函</w:t>
      </w:r>
      <w:r>
        <w:rPr>
          <w:rFonts w:hint="eastAsia"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r>
        <w:rPr>
          <w:rFonts w:hint="eastAsia" w:ascii="宋体" w:hAnsi="宋体" w:cs="Times New Roman"/>
          <w:b/>
          <w:kern w:val="2"/>
          <w:sz w:val="21"/>
          <w:szCs w:val="21"/>
          <w:lang w:val="en-US" w:eastAsia="zh-CN" w:bidi="ar-SA"/>
        </w:rPr>
        <w:t>（按需提供）</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pStyle w:val="17"/>
        <w:ind w:firstLine="210" w:firstLineChars="100"/>
        <w:rPr>
          <w:rFonts w:hint="default"/>
          <w:lang w:val="en-US" w:eastAsia="zh-CN"/>
        </w:rPr>
      </w:pPr>
      <w:r>
        <w:rPr>
          <w:rFonts w:hint="eastAsia" w:hAnsi="宋体" w:cs="Times New Roman"/>
          <w:kern w:val="2"/>
          <w:sz w:val="21"/>
          <w:szCs w:val="21"/>
          <w:lang w:val="en-US" w:eastAsia="zh-CN" w:bidi="ar-SA"/>
        </w:rPr>
        <w:t>3.售后服务</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rPr>
          <w:rFonts w:hint="eastAsia" w:ascii="宋体" w:hAnsi="宋体"/>
          <w:b/>
          <w:sz w:val="24"/>
        </w:rPr>
      </w:pPr>
      <w:r>
        <w:rPr>
          <w:rFonts w:hint="eastAsia" w:ascii="宋体" w:hAnsi="宋体"/>
          <w:b/>
          <w:sz w:val="24"/>
        </w:rP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4"/>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18"/>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4"/>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17"/>
      </w:pPr>
    </w:p>
    <w:p>
      <w:pPr>
        <w:pStyle w:val="17"/>
      </w:pPr>
    </w:p>
    <w:p>
      <w:pPr>
        <w:pStyle w:val="17"/>
      </w:pPr>
    </w:p>
    <w:p>
      <w:pPr>
        <w:pStyle w:val="17"/>
      </w:pPr>
    </w:p>
    <w:p>
      <w:pPr>
        <w:pStyle w:val="17"/>
      </w:pPr>
    </w:p>
    <w:p>
      <w:pPr>
        <w:pStyle w:val="17"/>
      </w:pPr>
    </w:p>
    <w:p>
      <w:pPr>
        <w:pStyle w:val="17"/>
      </w:pPr>
    </w:p>
    <w:p>
      <w:pPr>
        <w:pStyle w:val="17"/>
      </w:pPr>
    </w:p>
    <w:p>
      <w:pPr>
        <w:pStyle w:val="10"/>
        <w:spacing w:beforeLines="0" w:afterLines="0" w:line="500" w:lineRule="exact"/>
        <w:jc w:val="center"/>
        <w:rPr>
          <w:rFonts w:hint="default" w:ascii="Times New Roman"/>
          <w:b/>
          <w:color w:val="auto"/>
          <w:sz w:val="30"/>
          <w:szCs w:val="30"/>
          <w:highlight w:val="none"/>
        </w:rPr>
      </w:pP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投标服务技术需求偏离表</w:t>
      </w:r>
    </w:p>
    <w:p>
      <w:pPr>
        <w:pStyle w:val="10"/>
        <w:spacing w:beforeLines="0" w:afterLines="0" w:line="440" w:lineRule="exact"/>
        <w:ind w:firstLine="420" w:firstLineChars="200"/>
        <w:rPr>
          <w:rFonts w:hint="default"/>
          <w:color w:val="auto"/>
          <w:sz w:val="21"/>
          <w:szCs w:val="20"/>
          <w:highlight w:val="none"/>
        </w:rPr>
      </w:pP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1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cs="宋体"/>
                <w:color w:val="auto"/>
                <w:sz w:val="21"/>
                <w:szCs w:val="21"/>
                <w:highlight w:val="none"/>
              </w:rPr>
            </w:pPr>
            <w:r>
              <w:rPr>
                <w:rFonts w:hint="eastAsia" w:ascii="宋体" w:hAnsi="宋体" w:cs="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spacing w:before="0" w:beforeLines="0" w:beforeAutospacing="0" w:after="0" w:afterLines="0" w:afterAutospacing="0"/>
              <w:ind w:left="0" w:right="0"/>
              <w:jc w:val="left"/>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1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2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3  ……</w:t>
            </w:r>
          </w:p>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cs="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rPr>
                <w:rFonts w:hint="eastAsia" w:cs="宋体"/>
                <w:color w:val="auto"/>
                <w:sz w:val="21"/>
                <w:szCs w:val="21"/>
                <w:highlight w:val="none"/>
              </w:rPr>
            </w:pP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分标（此处有分标时填写具体分标号，无分标时填写“无”）</w:t>
            </w: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pStyle w:val="10"/>
        <w:spacing w:beforeLines="0" w:afterLines="0" w:line="360" w:lineRule="auto"/>
        <w:rPr>
          <w:rFonts w:hint="default"/>
          <w:color w:val="auto"/>
          <w:sz w:val="21"/>
          <w:szCs w:val="20"/>
          <w:highlight w:val="none"/>
        </w:rPr>
      </w:pPr>
      <w:r>
        <w:rPr>
          <w:rFonts w:hint="eastAsia"/>
          <w:color w:val="auto"/>
          <w:sz w:val="21"/>
          <w:szCs w:val="20"/>
          <w:highlight w:val="none"/>
        </w:rPr>
        <w:t>3.</w:t>
      </w:r>
      <w:r>
        <w:rPr>
          <w:rFonts w:hint="eastAsia" w:hAnsi="宋体" w:cs="宋体"/>
          <w:color w:val="auto"/>
          <w:sz w:val="21"/>
          <w:szCs w:val="21"/>
          <w:highlight w:val="none"/>
        </w:rPr>
        <w:t>采购需求中带“★”的条款，也要分别在本表“</w:t>
      </w:r>
      <w:r>
        <w:rPr>
          <w:rFonts w:hint="eastAsia" w:hAnsi="宋体"/>
          <w:color w:val="auto"/>
          <w:sz w:val="21"/>
          <w:szCs w:val="21"/>
          <w:highlight w:val="none"/>
        </w:rPr>
        <w:t>服务参数</w:t>
      </w:r>
      <w:r>
        <w:rPr>
          <w:rFonts w:hint="eastAsia" w:hAnsi="宋体" w:cs="宋体"/>
          <w:color w:val="auto"/>
          <w:sz w:val="21"/>
          <w:szCs w:val="21"/>
          <w:highlight w:val="none"/>
        </w:rPr>
        <w:t>”、“</w:t>
      </w:r>
      <w:r>
        <w:rPr>
          <w:rFonts w:hint="eastAsia" w:hAnsi="宋体"/>
          <w:color w:val="auto"/>
          <w:sz w:val="21"/>
          <w:szCs w:val="21"/>
          <w:highlight w:val="none"/>
        </w:rPr>
        <w:t>所提供服务的内容</w:t>
      </w:r>
      <w:r>
        <w:rPr>
          <w:rFonts w:hint="eastAsia" w:hAnsi="宋体" w:cs="宋体"/>
          <w:color w:val="auto"/>
          <w:sz w:val="21"/>
          <w:szCs w:val="21"/>
          <w:highlight w:val="none"/>
        </w:rPr>
        <w:t>”中标记。</w:t>
      </w:r>
    </w:p>
    <w:p>
      <w:pPr>
        <w:snapToGrid w:val="0"/>
        <w:spacing w:beforeLines="0" w:afterLines="0" w:line="360" w:lineRule="auto"/>
        <w:ind w:firstLine="5640" w:firstLineChars="2350"/>
        <w:rPr>
          <w:rFonts w:hint="default" w:ascii="仿宋_GB2312" w:hAnsi="仿宋" w:eastAsia="仿宋_GB2312" w:cs="仿宋_GB2312"/>
          <w:color w:val="auto"/>
          <w:kern w:val="0"/>
          <w:sz w:val="24"/>
          <w:szCs w:val="24"/>
          <w:highlight w:val="none"/>
          <w:lang w:val="zh-CN"/>
        </w:rPr>
      </w:pPr>
    </w:p>
    <w:p>
      <w:pPr>
        <w:spacing w:line="360" w:lineRule="auto"/>
        <w:ind w:firstLine="3780" w:firstLineChars="1800"/>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pacing w:line="360" w:lineRule="auto"/>
        <w:ind w:firstLine="5040" w:firstLineChars="2400"/>
        <w:rPr>
          <w:rFonts w:hint="default" w:asciiTheme="minorEastAsia" w:hAnsiTheme="minorEastAsia" w:eastAsiaTheme="minorEastAsia"/>
          <w:szCs w:val="21"/>
          <w:lang w:val="zh-CN"/>
        </w:rPr>
      </w:pPr>
      <w:r>
        <w:rPr>
          <w:rFonts w:hint="eastAsia" w:asciiTheme="minorEastAsia" w:hAnsiTheme="minorEastAsia" w:eastAsiaTheme="minorEastAsia"/>
          <w:szCs w:val="21"/>
          <w:lang w:val="zh-CN"/>
        </w:rPr>
        <w:t>日期</w:t>
      </w:r>
      <w:r>
        <w:rPr>
          <w:rFonts w:hint="eastAsia" w:asciiTheme="minorEastAsia" w:hAnsiTheme="minorEastAsia" w:eastAsiaTheme="minorEastAsia"/>
          <w:szCs w:val="21"/>
        </w:rPr>
        <w:t xml:space="preserve">：  年  </w:t>
      </w:r>
      <w:r>
        <w:rPr>
          <w:rFonts w:hint="eastAsia" w:asciiTheme="minorEastAsia" w:hAnsiTheme="minorEastAsia" w:eastAsiaTheme="minorEastAsia"/>
          <w:szCs w:val="21"/>
          <w:lang w:val="zh-CN"/>
        </w:rPr>
        <w:t>月</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日</w:t>
      </w:r>
    </w:p>
    <w:p>
      <w:pPr>
        <w:spacing w:line="360" w:lineRule="auto"/>
        <w:ind w:firstLine="3780" w:firstLineChars="1800"/>
        <w:rPr>
          <w:rFonts w:hint="eastAsia" w:asciiTheme="minorEastAsia" w:hAnsiTheme="minorEastAsia" w:eastAsiaTheme="minorEastAsia"/>
          <w:szCs w:val="21"/>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4"/>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r>
        <w:br w:type="page"/>
      </w:r>
    </w:p>
    <w:p>
      <w:pPr>
        <w:shd w:val="clear" w:color="auto" w:fill="auto"/>
        <w:spacing w:line="284" w:lineRule="auto"/>
        <w:jc w:val="both"/>
        <w:rPr>
          <w:rFonts w:hint="eastAsia" w:ascii="仿宋" w:hAnsi="仿宋" w:eastAsia="仿宋" w:cs="仿宋"/>
          <w:b/>
          <w:color w:val="auto"/>
          <w:sz w:val="24"/>
          <w:highlight w:val="none"/>
        </w:rPr>
      </w:pPr>
      <w:r>
        <w:rPr>
          <w:rFonts w:hint="eastAsia" w:ascii="仿宋" w:hAnsi="仿宋" w:eastAsia="仿宋" w:cs="仿宋"/>
          <w:b/>
          <w:color w:val="auto"/>
          <w:kern w:val="20"/>
          <w:sz w:val="24"/>
          <w:highlight w:val="none"/>
          <w:lang w:val="en-US" w:eastAsia="zh-CN"/>
        </w:rPr>
        <w:t>附件： 安全播出监测</w:t>
      </w:r>
      <w:r>
        <w:rPr>
          <w:rFonts w:hint="eastAsia" w:ascii="仿宋" w:hAnsi="仿宋" w:eastAsia="仿宋" w:cs="仿宋"/>
          <w:b/>
          <w:color w:val="auto"/>
          <w:kern w:val="20"/>
          <w:sz w:val="24"/>
          <w:highlight w:val="none"/>
        </w:rPr>
        <w:t>设备</w:t>
      </w:r>
      <w:r>
        <w:rPr>
          <w:rFonts w:hint="eastAsia" w:ascii="仿宋" w:hAnsi="仿宋" w:eastAsia="仿宋" w:cs="仿宋"/>
          <w:b/>
          <w:color w:val="auto"/>
          <w:sz w:val="24"/>
          <w:highlight w:val="none"/>
        </w:rPr>
        <w:t>安装地点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1957"/>
        <w:gridCol w:w="835"/>
        <w:gridCol w:w="854"/>
        <w:gridCol w:w="1236"/>
        <w:gridCol w:w="1049"/>
        <w:gridCol w:w="1049"/>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序号</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台名</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分中心</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功率等级</w:t>
            </w:r>
          </w:p>
        </w:tc>
        <w:tc>
          <w:tcPr>
            <w:tcW w:w="0" w:type="auto"/>
            <w:vMerge w:val="restart"/>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0"/>
                <w:sz w:val="18"/>
                <w:szCs w:val="18"/>
                <w:highlight w:val="none"/>
                <w:lang w:bidi="ar"/>
              </w:rPr>
              <w:t>规划频道（U/V）</w:t>
            </w:r>
          </w:p>
        </w:tc>
        <w:tc>
          <w:tcPr>
            <w:tcW w:w="0" w:type="auto"/>
            <w:gridSpan w:val="3"/>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广西地面数字电视安全播出监测系统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vMerge w:val="continue"/>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0"/>
                <w:sz w:val="18"/>
                <w:szCs w:val="18"/>
                <w:highlight w:val="none"/>
                <w:lang w:bidi="ar"/>
              </w:rPr>
            </w:pP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监测板（块）</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转码板（块）</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right="0" w:firstLine="0"/>
              <w:jc w:val="center"/>
              <w:textAlignment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主控板（块）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8</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广西壮族自治区广播电视局隆安微波台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300.00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DS-13</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12</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马山转播台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300.00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DS-35</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0" w:type="auto"/>
            <w:noWrap w:val="0"/>
            <w:vAlign w:val="center"/>
          </w:tcPr>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val="0"/>
              <w:spacing w:before="0" w:line="240" w:lineRule="auto"/>
              <w:ind w:left="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20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上林转播台</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南宁分中 心</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300.00</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leftChars="0" w:right="0" w:firstLine="0"/>
              <w:jc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DS-10</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c>
          <w:tcPr>
            <w:tcW w:w="0" w:type="auto"/>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val="0"/>
              <w:spacing w:beforeAutospacing="0" w:after="0" w:afterAutospacing="0" w:line="240" w:lineRule="auto"/>
              <w:ind w:left="0" w:leftChars="0" w:right="0" w:rightChars="0" w:firstLine="0"/>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1</w:t>
            </w:r>
          </w:p>
        </w:tc>
      </w:tr>
    </w:tbl>
    <w:p>
      <w:pPr>
        <w:pStyle w:val="1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2A1E10D9"/>
    <w:rsid w:val="01083B1B"/>
    <w:rsid w:val="018F2315"/>
    <w:rsid w:val="03215C6E"/>
    <w:rsid w:val="046E0498"/>
    <w:rsid w:val="05A33157"/>
    <w:rsid w:val="07AC73B9"/>
    <w:rsid w:val="093A7CD7"/>
    <w:rsid w:val="0B042AF3"/>
    <w:rsid w:val="0BCA6AEE"/>
    <w:rsid w:val="0E6007D1"/>
    <w:rsid w:val="0FB21319"/>
    <w:rsid w:val="10B77EEF"/>
    <w:rsid w:val="128D0FAD"/>
    <w:rsid w:val="156148A2"/>
    <w:rsid w:val="167A192F"/>
    <w:rsid w:val="18295812"/>
    <w:rsid w:val="184365B4"/>
    <w:rsid w:val="1A2218B6"/>
    <w:rsid w:val="1AE05C4C"/>
    <w:rsid w:val="1D093997"/>
    <w:rsid w:val="1F6A6A21"/>
    <w:rsid w:val="1FD9566D"/>
    <w:rsid w:val="25C0270C"/>
    <w:rsid w:val="26122A2E"/>
    <w:rsid w:val="295D1240"/>
    <w:rsid w:val="295D66C8"/>
    <w:rsid w:val="29903251"/>
    <w:rsid w:val="2A1E10D9"/>
    <w:rsid w:val="2C0B12BB"/>
    <w:rsid w:val="2C132439"/>
    <w:rsid w:val="2D697595"/>
    <w:rsid w:val="2D9A6C2B"/>
    <w:rsid w:val="2D9D5D07"/>
    <w:rsid w:val="3343509B"/>
    <w:rsid w:val="379478DD"/>
    <w:rsid w:val="379904DE"/>
    <w:rsid w:val="3A2068D8"/>
    <w:rsid w:val="3B232AC9"/>
    <w:rsid w:val="3B470344"/>
    <w:rsid w:val="3BD553B9"/>
    <w:rsid w:val="3E2F7CF0"/>
    <w:rsid w:val="3FD553CB"/>
    <w:rsid w:val="40AF0957"/>
    <w:rsid w:val="44345DAC"/>
    <w:rsid w:val="45121FCC"/>
    <w:rsid w:val="46B54148"/>
    <w:rsid w:val="46E2098A"/>
    <w:rsid w:val="49091651"/>
    <w:rsid w:val="4A0364DA"/>
    <w:rsid w:val="4B8120C8"/>
    <w:rsid w:val="4DD20D99"/>
    <w:rsid w:val="4E3F26A3"/>
    <w:rsid w:val="4FB46152"/>
    <w:rsid w:val="502B0E52"/>
    <w:rsid w:val="511A0E3B"/>
    <w:rsid w:val="52C6328A"/>
    <w:rsid w:val="536058F7"/>
    <w:rsid w:val="57623B4D"/>
    <w:rsid w:val="59421EFC"/>
    <w:rsid w:val="5B7C4B16"/>
    <w:rsid w:val="5BC51173"/>
    <w:rsid w:val="5DF6325F"/>
    <w:rsid w:val="5EF160DC"/>
    <w:rsid w:val="5FEF776C"/>
    <w:rsid w:val="61783DB1"/>
    <w:rsid w:val="6516685D"/>
    <w:rsid w:val="65631CF7"/>
    <w:rsid w:val="68AB2703"/>
    <w:rsid w:val="6AA3681D"/>
    <w:rsid w:val="6C354E34"/>
    <w:rsid w:val="6C7608AE"/>
    <w:rsid w:val="6C7A1518"/>
    <w:rsid w:val="6CB206CD"/>
    <w:rsid w:val="6EE45C18"/>
    <w:rsid w:val="73772751"/>
    <w:rsid w:val="739F177E"/>
    <w:rsid w:val="7696020F"/>
    <w:rsid w:val="7836409D"/>
    <w:rsid w:val="797309E8"/>
    <w:rsid w:val="79733675"/>
    <w:rsid w:val="79EF0DE2"/>
    <w:rsid w:val="7B932DAA"/>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表名称"/>
    <w:basedOn w:val="3"/>
    <w:autoRedefine/>
    <w:qFormat/>
    <w:uiPriority w:val="0"/>
    <w:pPr>
      <w:numPr>
        <w:ilvl w:val="0"/>
        <w:numId w:val="1"/>
      </w:numPr>
      <w:tabs>
        <w:tab w:val="left" w:pos="360"/>
      </w:tabs>
      <w:spacing w:before="120" w:after="120"/>
      <w:ind w:left="0" w:firstLine="0"/>
      <w:jc w:val="center"/>
    </w:pPr>
    <w:rPr>
      <w:rFonts w:ascii="Calibri" w:hAnsi="Calibri"/>
    </w:rPr>
  </w:style>
  <w:style w:type="paragraph" w:styleId="3">
    <w:name w:val="Normal Indent"/>
    <w:basedOn w:val="1"/>
    <w:autoRedefine/>
    <w:qFormat/>
    <w:uiPriority w:val="0"/>
    <w:pPr>
      <w:widowControl/>
      <w:spacing w:line="360" w:lineRule="auto"/>
      <w:ind w:firstLine="420"/>
      <w:jc w:val="left"/>
    </w:pPr>
    <w:rPr>
      <w:rFonts w:ascii="宋体"/>
      <w:kern w:val="0"/>
      <w:szCs w:val="20"/>
    </w:rPr>
  </w:style>
  <w:style w:type="paragraph" w:styleId="6">
    <w:name w:val="Body Text"/>
    <w:basedOn w:val="1"/>
    <w:next w:val="1"/>
    <w:autoRedefine/>
    <w:qFormat/>
    <w:uiPriority w:val="0"/>
    <w:pPr>
      <w:spacing w:line="380" w:lineRule="exact"/>
    </w:pPr>
    <w:rPr>
      <w:kern w:val="0"/>
      <w:sz w:val="24"/>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autoRedefine/>
    <w:qFormat/>
    <w:uiPriority w:val="0"/>
    <w:pPr>
      <w:ind w:left="100" w:leftChars="200" w:hanging="200" w:hangingChars="200"/>
    </w:pPr>
    <w:rPr>
      <w:sz w:val="28"/>
    </w:rPr>
  </w:style>
  <w:style w:type="paragraph" w:styleId="10">
    <w:name w:val="Plain Text"/>
    <w:basedOn w:val="1"/>
    <w:next w:val="5"/>
    <w:autoRedefine/>
    <w:qFormat/>
    <w:uiPriority w:val="0"/>
    <w:rPr>
      <w:rFonts w:ascii="宋体" w:hAnsi="Courier New"/>
      <w:szCs w:val="20"/>
    </w:rPr>
  </w:style>
  <w:style w:type="paragraph" w:styleId="11">
    <w:name w:val="footer"/>
    <w:basedOn w:val="1"/>
    <w:autoRedefine/>
    <w:unhideWhenUsed/>
    <w:qFormat/>
    <w:uiPriority w:val="0"/>
    <w:pPr>
      <w:tabs>
        <w:tab w:val="center" w:pos="4153"/>
        <w:tab w:val="right" w:pos="8306"/>
      </w:tabs>
      <w:snapToGrid w:val="0"/>
      <w:jc w:val="left"/>
    </w:pPr>
    <w:rPr>
      <w:kern w:val="0"/>
      <w:sz w:val="18"/>
      <w:szCs w:val="18"/>
    </w:rPr>
  </w:style>
  <w:style w:type="paragraph" w:styleId="12">
    <w:name w:val="Body Text First Indent"/>
    <w:basedOn w:val="6"/>
    <w:next w:val="1"/>
    <w:autoRedefine/>
    <w:qFormat/>
    <w:uiPriority w:val="0"/>
    <w:pPr>
      <w:ind w:firstLine="420" w:firstLineChars="100"/>
    </w:pPr>
    <w:rPr>
      <w:rFonts w:ascii="宋体" w:hAnsi="宋体" w:eastAsia="宋体" w:cs="Times New Roman"/>
      <w:szCs w:val="20"/>
    </w:rPr>
  </w:style>
  <w:style w:type="paragraph" w:styleId="13">
    <w:name w:val="Body Text First Indent 2"/>
    <w:basedOn w:val="7"/>
    <w:next w:val="12"/>
    <w:autoRedefine/>
    <w:qFormat/>
    <w:uiPriority w:val="99"/>
    <w:pPr>
      <w:spacing w:line="460" w:lineRule="exact"/>
      <w:ind w:firstLine="420" w:firstLineChars="200"/>
    </w:pPr>
    <w:rPr>
      <w:rFonts w:ascii="Calibri" w:hAnsi="Calibri" w:eastAsia="宋体" w:cs="Times New Roman"/>
      <w:spacing w:val="0"/>
      <w:sz w:val="21"/>
      <w:szCs w:val="2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默认段落字体 Para Char Char Char Char Char Char Char Char Char1 Char Char Char Char"/>
    <w:basedOn w:val="1"/>
    <w:autoRedefine/>
    <w:qFormat/>
    <w:uiPriority w:val="0"/>
    <w:rPr>
      <w:rFonts w:ascii="Tahoma" w:hAnsi="Tahoma"/>
      <w:sz w:val="24"/>
      <w:szCs w:val="20"/>
    </w:rPr>
  </w:style>
  <w:style w:type="paragraph" w:styleId="19">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7068</Words>
  <Characters>7811</Characters>
  <Lines>0</Lines>
  <Paragraphs>0</Paragraphs>
  <TotalTime>1</TotalTime>
  <ScaleCrop>false</ScaleCrop>
  <LinksUpToDate>false</LinksUpToDate>
  <CharactersWithSpaces>8986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骑士</cp:lastModifiedBy>
  <dcterms:modified xsi:type="dcterms:W3CDTF">2024-01-30T09:05:31Z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3F21B8F15D13429194ACE8F6A4FD621E_13</vt:lpwstr>
  </property>
</Properties>
</file>