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rPr>
        <w:t>服务需求一览表</w:t>
      </w:r>
      <w:bookmarkEnd w:id="1"/>
    </w:p>
    <w:p>
      <w:pPr>
        <w:pStyle w:val="11"/>
        <w:rPr>
          <w:rFonts w:hint="eastAsia" w:ascii="宋体" w:hAnsi="宋体"/>
          <w:b/>
          <w:bCs/>
          <w:sz w:val="21"/>
          <w:szCs w:val="24"/>
        </w:rPr>
      </w:pPr>
      <w:r>
        <w:rPr>
          <w:rFonts w:hint="eastAsia" w:ascii="宋体" w:hAnsi="宋体"/>
          <w:b/>
          <w:bCs/>
          <w:sz w:val="21"/>
          <w:szCs w:val="24"/>
        </w:rPr>
        <w:t>说明：</w:t>
      </w:r>
    </w:p>
    <w:p>
      <w:pPr>
        <w:pStyle w:val="11"/>
        <w:ind w:firstLine="422" w:firstLineChars="200"/>
        <w:rPr>
          <w:rFonts w:ascii="宋体" w:hAnsi="宋体"/>
          <w:b/>
          <w:bCs/>
          <w:sz w:val="21"/>
          <w:szCs w:val="24"/>
        </w:rPr>
      </w:pPr>
      <w:r>
        <w:rPr>
          <w:rFonts w:hint="eastAsia" w:ascii="宋体" w:hAnsi="宋体"/>
          <w:b/>
          <w:bCs/>
          <w:sz w:val="21"/>
          <w:szCs w:val="24"/>
        </w:rPr>
        <w:t>1、本</w:t>
      </w:r>
      <w:r>
        <w:rPr>
          <w:rFonts w:hint="eastAsia" w:ascii="宋体" w:hAnsi="宋体"/>
          <w:b/>
          <w:bCs/>
          <w:sz w:val="21"/>
          <w:szCs w:val="24"/>
          <w:lang w:val="en-US" w:eastAsia="zh-CN"/>
        </w:rPr>
        <w:t>次服务</w:t>
      </w:r>
      <w:r>
        <w:rPr>
          <w:rFonts w:hint="eastAsia" w:ascii="宋体" w:hAnsi="宋体"/>
          <w:b/>
          <w:bCs/>
          <w:sz w:val="21"/>
          <w:szCs w:val="24"/>
        </w:rPr>
        <w:t>需求一览表中标注</w:t>
      </w:r>
      <w:r>
        <w:rPr>
          <w:rFonts w:hint="eastAsia" w:ascii="仿宋" w:hAnsi="仿宋" w:eastAsia="仿宋" w:cs="仿宋"/>
          <w:color w:val="auto"/>
          <w:kern w:val="0"/>
          <w:sz w:val="21"/>
          <w:szCs w:val="21"/>
          <w:highlight w:val="none"/>
        </w:rPr>
        <w:t>▲</w:t>
      </w:r>
      <w:r>
        <w:rPr>
          <w:rFonts w:hint="eastAsia" w:ascii="宋体" w:hAnsi="宋体"/>
          <w:b/>
          <w:bCs/>
          <w:sz w:val="21"/>
          <w:szCs w:val="24"/>
        </w:rPr>
        <w:t>号的部分为实质性要求和条件。</w:t>
      </w:r>
    </w:p>
    <w:p>
      <w:pPr>
        <w:pStyle w:val="11"/>
        <w:ind w:firstLine="422" w:firstLineChars="200"/>
        <w:rPr>
          <w:rFonts w:hint="eastAsia" w:ascii="宋体" w:hAnsi="宋体"/>
          <w:b/>
          <w:bCs/>
          <w:sz w:val="21"/>
          <w:szCs w:val="24"/>
        </w:rPr>
      </w:pPr>
      <w:r>
        <w:rPr>
          <w:rFonts w:hint="eastAsia" w:ascii="宋体" w:hAnsi="宋体"/>
          <w:b/>
          <w:bCs/>
          <w:sz w:val="21"/>
          <w:szCs w:val="24"/>
          <w:lang w:val="en-US" w:eastAsia="zh-CN"/>
        </w:rPr>
        <w:t>2</w:t>
      </w:r>
      <w:r>
        <w:rPr>
          <w:rFonts w:hint="eastAsia" w:ascii="宋体" w:hAnsi="宋体"/>
          <w:b/>
          <w:bCs/>
          <w:sz w:val="21"/>
          <w:szCs w:val="24"/>
        </w:rPr>
        <w:t>、本次</w:t>
      </w:r>
      <w:r>
        <w:rPr>
          <w:rFonts w:hint="eastAsia" w:ascii="宋体" w:hAnsi="宋体"/>
          <w:b/>
          <w:bCs/>
          <w:sz w:val="21"/>
          <w:szCs w:val="24"/>
          <w:lang w:val="en-US" w:eastAsia="zh-CN"/>
        </w:rPr>
        <w:t>服务</w:t>
      </w:r>
      <w:r>
        <w:rPr>
          <w:rFonts w:hint="eastAsia" w:ascii="宋体" w:hAnsi="宋体"/>
          <w:b/>
          <w:bCs/>
          <w:sz w:val="21"/>
          <w:szCs w:val="24"/>
        </w:rPr>
        <w:t>采购最高限价为人民币</w:t>
      </w:r>
      <w:r>
        <w:rPr>
          <w:rFonts w:hint="eastAsia" w:ascii="宋体" w:hAnsi="宋体"/>
          <w:b/>
          <w:bCs/>
          <w:sz w:val="21"/>
          <w:szCs w:val="24"/>
          <w:u w:val="none"/>
          <w:lang w:val="en-US" w:eastAsia="zh-CN"/>
        </w:rPr>
        <w:t>贰拾万元整</w:t>
      </w:r>
      <w:r>
        <w:rPr>
          <w:rFonts w:hint="eastAsia" w:ascii="宋体" w:hAnsi="宋体"/>
          <w:b/>
          <w:bCs/>
          <w:sz w:val="21"/>
          <w:szCs w:val="24"/>
        </w:rPr>
        <w:t>(¥</w:t>
      </w:r>
      <w:r>
        <w:rPr>
          <w:rFonts w:hint="eastAsia" w:ascii="宋体" w:hAnsi="宋体"/>
          <w:b/>
          <w:bCs/>
          <w:sz w:val="21"/>
          <w:szCs w:val="24"/>
          <w:lang w:val="en-US" w:eastAsia="zh-CN"/>
        </w:rPr>
        <w:t>200000元</w:t>
      </w:r>
      <w:r>
        <w:rPr>
          <w:rFonts w:hint="eastAsia" w:ascii="宋体" w:hAnsi="宋体"/>
          <w:b/>
          <w:bCs/>
          <w:sz w:val="21"/>
          <w:szCs w:val="24"/>
        </w:rPr>
        <w:t>)。</w:t>
      </w:r>
    </w:p>
    <w:p>
      <w:pPr>
        <w:pStyle w:val="11"/>
        <w:ind w:firstLine="422" w:firstLineChars="200"/>
        <w:rPr>
          <w:rFonts w:hint="eastAsia" w:ascii="宋体" w:hAnsi="宋体"/>
          <w:b/>
          <w:bCs/>
          <w:sz w:val="21"/>
          <w:szCs w:val="24"/>
          <w:highlight w:val="none"/>
          <w:lang w:eastAsia="zh-CN"/>
        </w:rPr>
      </w:pPr>
      <w:r>
        <w:rPr>
          <w:rFonts w:hint="eastAsia" w:ascii="宋体" w:hAnsi="宋体"/>
          <w:b/>
          <w:bCs/>
          <w:sz w:val="21"/>
          <w:szCs w:val="24"/>
          <w:highlight w:val="none"/>
          <w:lang w:val="en-US" w:eastAsia="zh-CN"/>
        </w:rPr>
        <w:t>3、</w:t>
      </w:r>
      <w:r>
        <w:rPr>
          <w:rFonts w:hint="eastAsia" w:ascii="宋体" w:hAnsi="宋体"/>
          <w:b/>
          <w:bCs/>
          <w:sz w:val="21"/>
          <w:szCs w:val="24"/>
          <w:highlight w:val="none"/>
        </w:rPr>
        <w:t>采购标的对应的中小企业划分标准所属行业：</w:t>
      </w:r>
      <w:r>
        <w:rPr>
          <w:rFonts w:hint="eastAsia" w:ascii="宋体" w:hAnsi="宋体"/>
          <w:b/>
          <w:bCs/>
          <w:sz w:val="21"/>
          <w:szCs w:val="24"/>
          <w:highlight w:val="none"/>
          <w:lang w:val="en-US" w:eastAsia="zh-CN"/>
        </w:rPr>
        <w:t>工</w:t>
      </w:r>
      <w:r>
        <w:rPr>
          <w:rFonts w:hint="eastAsia" w:ascii="宋体" w:hAnsi="宋体"/>
          <w:b/>
          <w:bCs/>
          <w:sz w:val="21"/>
          <w:szCs w:val="24"/>
          <w:highlight w:val="none"/>
        </w:rPr>
        <w:t>业</w:t>
      </w:r>
      <w:r>
        <w:rPr>
          <w:rFonts w:hint="eastAsia" w:ascii="宋体" w:hAnsi="宋体"/>
          <w:b/>
          <w:bCs/>
          <w:sz w:val="21"/>
          <w:szCs w:val="24"/>
          <w:highlight w:val="none"/>
          <w:lang w:eastAsia="zh-CN"/>
        </w:rPr>
        <w:t>。</w:t>
      </w:r>
    </w:p>
    <w:p>
      <w:pPr>
        <w:pStyle w:val="11"/>
        <w:ind w:firstLine="422" w:firstLineChars="200"/>
        <w:rPr>
          <w:rFonts w:hint="eastAsia" w:ascii="宋体" w:hAnsi="宋体"/>
          <w:b/>
          <w:bCs/>
          <w:sz w:val="21"/>
          <w:szCs w:val="24"/>
          <w:highlight w:val="none"/>
          <w:lang w:eastAsia="zh-CN"/>
        </w:rPr>
      </w:pPr>
    </w:p>
    <w:p>
      <w:pPr>
        <w:jc w:val="center"/>
        <w:rPr>
          <w:rFonts w:hint="eastAsia" w:ascii="宋体" w:hAnsi="宋体" w:eastAsia="宋体"/>
          <w:b/>
          <w:bCs/>
          <w:kern w:val="0"/>
          <w:lang w:eastAsia="zh-CN"/>
        </w:rPr>
      </w:pPr>
      <w:r>
        <w:rPr>
          <w:rFonts w:hint="eastAsia" w:ascii="宋体" w:hAnsi="宋体"/>
          <w:b/>
          <w:bCs/>
          <w:kern w:val="0"/>
        </w:rPr>
        <w:t>项目名称：</w:t>
      </w:r>
      <w:r>
        <w:rPr>
          <w:rFonts w:hint="eastAsia" w:ascii="宋体" w:hAnsi="宋体" w:eastAsia="宋体"/>
          <w:b/>
          <w:bCs/>
          <w:kern w:val="0"/>
          <w:lang w:eastAsia="zh-CN"/>
        </w:rPr>
        <w:t>广西本地节目地面数字电视覆盖网建设（南宁）</w:t>
      </w:r>
    </w:p>
    <w:p>
      <w:pPr>
        <w:jc w:val="center"/>
        <w:rPr>
          <w:rFonts w:hint="default" w:ascii="宋体" w:hAnsi="宋体"/>
          <w:b/>
          <w:bCs/>
          <w:sz w:val="21"/>
          <w:szCs w:val="24"/>
          <w:highlight w:val="none"/>
          <w:lang w:val="en-US" w:eastAsia="zh-CN"/>
        </w:rPr>
      </w:pPr>
      <w:r>
        <w:rPr>
          <w:rFonts w:hint="eastAsia" w:ascii="宋体" w:hAnsi="宋体" w:eastAsia="宋体"/>
          <w:b/>
          <w:bCs/>
          <w:kern w:val="0"/>
          <w:lang w:val="en-US" w:eastAsia="zh-CN"/>
        </w:rPr>
        <w:t>地面数字电视安全播出监测系统</w:t>
      </w:r>
      <w:r>
        <w:rPr>
          <w:rFonts w:hint="eastAsia" w:ascii="宋体" w:hAnsi="宋体"/>
          <w:b/>
          <w:bCs/>
          <w:kern w:val="0"/>
          <w:lang w:val="en-US" w:eastAsia="zh-CN"/>
        </w:rPr>
        <w:t>采购CGSQ-FY202401290041</w:t>
      </w:r>
    </w:p>
    <w:tbl>
      <w:tblPr>
        <w:tblStyle w:val="14"/>
        <w:tblW w:w="10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8"/>
        <w:gridCol w:w="1200"/>
        <w:gridCol w:w="394"/>
        <w:gridCol w:w="176"/>
        <w:gridCol w:w="525"/>
        <w:gridCol w:w="930"/>
        <w:gridCol w:w="983"/>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318"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200"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服务名称</w:t>
            </w:r>
          </w:p>
        </w:tc>
        <w:tc>
          <w:tcPr>
            <w:tcW w:w="570" w:type="dxa"/>
            <w:gridSpan w:val="2"/>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数量</w:t>
            </w:r>
          </w:p>
        </w:tc>
        <w:tc>
          <w:tcPr>
            <w:tcW w:w="52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930"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单价(元）</w:t>
            </w:r>
          </w:p>
        </w:tc>
        <w:tc>
          <w:tcPr>
            <w:tcW w:w="983"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单项合价（元）</w:t>
            </w:r>
          </w:p>
        </w:tc>
        <w:tc>
          <w:tcPr>
            <w:tcW w:w="6324"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服务内容及要求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jc w:val="center"/>
        </w:trPr>
        <w:tc>
          <w:tcPr>
            <w:tcW w:w="318" w:type="dxa"/>
            <w:vAlign w:val="center"/>
          </w:tcPr>
          <w:p>
            <w:pPr>
              <w:tabs>
                <w:tab w:val="left" w:pos="180"/>
                <w:tab w:val="left" w:pos="1620"/>
              </w:tabs>
              <w:spacing w:line="360" w:lineRule="auto"/>
              <w:jc w:val="center"/>
              <w:rPr>
                <w:color w:val="000000"/>
                <w:sz w:val="24"/>
                <w:szCs w:val="20"/>
              </w:rPr>
            </w:pPr>
            <w:r>
              <w:rPr>
                <w:rFonts w:hint="eastAsia"/>
                <w:color w:val="000000"/>
                <w:sz w:val="24"/>
                <w:szCs w:val="20"/>
              </w:rPr>
              <w:t>1</w:t>
            </w:r>
          </w:p>
        </w:tc>
        <w:tc>
          <w:tcPr>
            <w:tcW w:w="1200" w:type="dxa"/>
            <w:vAlign w:val="center"/>
          </w:tcPr>
          <w:p>
            <w:pPr>
              <w:tabs>
                <w:tab w:val="left" w:pos="180"/>
                <w:tab w:val="left" w:pos="1620"/>
              </w:tabs>
              <w:spacing w:line="360" w:lineRule="auto"/>
              <w:jc w:val="center"/>
              <w:rPr>
                <w:color w:val="000000"/>
                <w:sz w:val="24"/>
                <w:szCs w:val="20"/>
              </w:rPr>
            </w:pPr>
            <w:r>
              <w:rPr>
                <w:rFonts w:hint="eastAsia" w:ascii="仿宋" w:hAnsi="仿宋" w:eastAsia="仿宋" w:cs="仿宋"/>
                <w:color w:val="auto"/>
                <w:kern w:val="0"/>
                <w:sz w:val="21"/>
                <w:szCs w:val="21"/>
                <w:highlight w:val="none"/>
              </w:rPr>
              <w:t>CPCI刀片式广播电视监测主控板</w:t>
            </w:r>
          </w:p>
        </w:tc>
        <w:tc>
          <w:tcPr>
            <w:tcW w:w="570" w:type="dxa"/>
            <w:gridSpan w:val="2"/>
            <w:vAlign w:val="center"/>
          </w:tcPr>
          <w:p>
            <w:pPr>
              <w:tabs>
                <w:tab w:val="left" w:pos="180"/>
                <w:tab w:val="left" w:pos="1620"/>
              </w:tabs>
              <w:spacing w:line="360" w:lineRule="auto"/>
              <w:jc w:val="center"/>
              <w:rPr>
                <w:rFonts w:hint="default" w:eastAsia="宋体"/>
                <w:color w:val="000000"/>
                <w:sz w:val="24"/>
                <w:szCs w:val="20"/>
                <w:lang w:val="en-US" w:eastAsia="zh-CN"/>
              </w:rPr>
            </w:pPr>
            <w:r>
              <w:rPr>
                <w:rFonts w:hint="eastAsia"/>
                <w:color w:val="000000"/>
                <w:sz w:val="24"/>
                <w:szCs w:val="20"/>
                <w:lang w:val="en-US" w:eastAsia="zh-CN"/>
              </w:rPr>
              <w:t>3</w:t>
            </w:r>
          </w:p>
        </w:tc>
        <w:tc>
          <w:tcPr>
            <w:tcW w:w="525" w:type="dxa"/>
            <w:vAlign w:val="center"/>
          </w:tcPr>
          <w:p>
            <w:pPr>
              <w:tabs>
                <w:tab w:val="left" w:pos="180"/>
                <w:tab w:val="left" w:pos="1620"/>
              </w:tabs>
              <w:spacing w:line="360" w:lineRule="auto"/>
              <w:jc w:val="center"/>
              <w:rPr>
                <w:rFonts w:hint="default" w:eastAsia="宋体"/>
                <w:color w:val="000000"/>
                <w:sz w:val="24"/>
                <w:szCs w:val="20"/>
                <w:lang w:val="en-US" w:eastAsia="zh-CN"/>
              </w:rPr>
            </w:pPr>
            <w:r>
              <w:rPr>
                <w:rFonts w:hint="eastAsia"/>
                <w:color w:val="000000"/>
                <w:sz w:val="24"/>
                <w:szCs w:val="20"/>
                <w:lang w:val="en-US" w:eastAsia="zh-CN"/>
              </w:rPr>
              <w:t>块</w:t>
            </w:r>
          </w:p>
        </w:tc>
        <w:tc>
          <w:tcPr>
            <w:tcW w:w="930" w:type="dxa"/>
            <w:vAlign w:val="center"/>
          </w:tcPr>
          <w:p>
            <w:pPr>
              <w:tabs>
                <w:tab w:val="left" w:pos="180"/>
                <w:tab w:val="left" w:pos="1620"/>
              </w:tabs>
              <w:spacing w:line="360" w:lineRule="auto"/>
              <w:jc w:val="center"/>
              <w:rPr>
                <w:rFonts w:hint="default" w:eastAsia="宋体"/>
                <w:color w:val="000000"/>
                <w:sz w:val="24"/>
                <w:szCs w:val="20"/>
                <w:lang w:val="en-US" w:eastAsia="zh-CN"/>
              </w:rPr>
            </w:pPr>
            <w:r>
              <w:rPr>
                <w:rFonts w:hint="eastAsia"/>
                <w:color w:val="000000"/>
                <w:sz w:val="24"/>
                <w:szCs w:val="20"/>
                <w:lang w:val="en-US" w:eastAsia="zh-CN"/>
              </w:rPr>
              <w:t>21900</w:t>
            </w:r>
          </w:p>
        </w:tc>
        <w:tc>
          <w:tcPr>
            <w:tcW w:w="983" w:type="dxa"/>
            <w:vAlign w:val="center"/>
          </w:tcPr>
          <w:p>
            <w:pPr>
              <w:tabs>
                <w:tab w:val="left" w:pos="180"/>
                <w:tab w:val="left" w:pos="1620"/>
              </w:tabs>
              <w:spacing w:line="360" w:lineRule="auto"/>
              <w:jc w:val="center"/>
              <w:rPr>
                <w:rFonts w:hint="default" w:eastAsia="宋体"/>
                <w:color w:val="000000"/>
                <w:sz w:val="24"/>
                <w:szCs w:val="20"/>
                <w:lang w:val="en-US" w:eastAsia="zh-CN"/>
              </w:rPr>
            </w:pPr>
            <w:r>
              <w:rPr>
                <w:rFonts w:hint="eastAsia"/>
                <w:color w:val="000000"/>
                <w:sz w:val="24"/>
                <w:szCs w:val="20"/>
                <w:lang w:val="en-US" w:eastAsia="zh-CN"/>
              </w:rPr>
              <w:t>65700</w:t>
            </w:r>
          </w:p>
        </w:tc>
        <w:tc>
          <w:tcPr>
            <w:tcW w:w="6324" w:type="dxa"/>
            <w:vAlign w:val="center"/>
          </w:tcPr>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（一）性能配置要求：</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采用国产嵌入式CPU，安装操作系统及监测应用软件；</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采用插卡式结构，支持热插拔；</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板卡支持 CompactPCI 标准；</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刀片式板卡，板卡参考尺寸:CPCI 标准“160mm*233.35mm”尺寸 (6U 卡)；</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前装载板卡，具有指示灯前面显示板卡运行状态；</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w:t>
            </w:r>
            <w:r>
              <w:rPr>
                <w:rFonts w:hint="eastAsia" w:ascii="仿宋" w:hAnsi="仿宋" w:eastAsia="仿宋" w:cs="仿宋"/>
                <w:color w:val="auto"/>
                <w:kern w:val="0"/>
                <w:sz w:val="21"/>
                <w:szCs w:val="21"/>
                <w:highlight w:val="none"/>
                <w:lang w:val="en-US" w:eastAsia="zh-CN"/>
              </w:rPr>
              <w:t>6</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支持 mSATA接口；</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w:t>
            </w:r>
            <w:r>
              <w:rPr>
                <w:rFonts w:hint="eastAsia" w:ascii="仿宋" w:hAnsi="仿宋" w:eastAsia="仿宋" w:cs="仿宋"/>
                <w:color w:val="auto"/>
                <w:kern w:val="0"/>
                <w:sz w:val="21"/>
                <w:szCs w:val="21"/>
                <w:highlight w:val="none"/>
                <w:lang w:val="en-US" w:eastAsia="zh-CN"/>
              </w:rPr>
              <w:t>7</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可直接插入mSATA接口固态硬盘，实现本地存储；</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w:t>
            </w:r>
            <w:r>
              <w:rPr>
                <w:rFonts w:hint="eastAsia" w:ascii="仿宋" w:hAnsi="仿宋" w:eastAsia="仿宋" w:cs="仿宋"/>
                <w:color w:val="auto"/>
                <w:kern w:val="0"/>
                <w:sz w:val="21"/>
                <w:szCs w:val="21"/>
                <w:highlight w:val="none"/>
                <w:lang w:val="en-US" w:eastAsia="zh-CN"/>
              </w:rPr>
              <w:t>8</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支持 Over IP传输，并支持 PCI 总线传输；</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9</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同时支持 IPv4 和 IPv6 协议；</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10</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sz w:val="21"/>
                <w:szCs w:val="24"/>
                <w:highlight w:val="none"/>
              </w:rPr>
              <w:t>每块板卡至少支持同时对48套节目监测及录像；</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采用贴片工艺，无附加板；</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I/O接口：1×USB 2.0、2×MSATA、1×RS-232</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val="en-US" w:eastAsia="zh-CN"/>
              </w:rPr>
              <w:t>3</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显示接口：1×HDMI；</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网络输出接口：</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 以太网输出口数量：2 个；</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 传输速率：1000Mbps；</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 连接器接口类型：RJ45；</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 数据输出方式：单播、组播</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val="en-US" w:eastAsia="zh-CN"/>
              </w:rPr>
              <w:t>5</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 xml:space="preserve">配置接口：Web 配置、Telnet 配置 </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val="en-US" w:eastAsia="zh-CN"/>
              </w:rPr>
              <w:t>6</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调试接口：RS232 数量：1 个</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val="en-US" w:eastAsia="zh-CN"/>
              </w:rPr>
              <w:t>7</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功耗最大功耗不高于15W。</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(二) 技术功能要求</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广播电视节目实时编码压缩数据的存储,本地保存时间为动态可调。</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技术指标与音视频监测报警功能：当监测到各频率频道在规定播出时段内出现技术指标和音视频层面的播出异态时，监测前端系统能自动报警记录，并实时上传至监测数据处理中心，在数据处理中心以语言、文字和颜色图形报警提示。</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数据实时上传功能将频率频道数据、指标测量数据与节目转码压缩数据等实时上传到监测数据处理中心。</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数据传输保护功能当出现因网络故障而不能实时上传数据(报警、指标测量与内容编码压缩录音等数据)到中心存储系统时，系统在网络恢复后，自动接收中心指令，将这段数据重新上传到中心存储系统。</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广播电视节目内容存储功能能把频率频道的节目内容编码压缩数据全部自动存储起来，供查询。</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频率频道数据的上传、处理、存储与报表打印功能所有频率原始数据经过上传、处理、存储，形成多级别的数据，并以满足监测业务需要，同时报表可预览、打印。</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实时时钟同步前端设备与中心系统的实时时钟同步，保证整网的时间一致性，准确度至少为 1 秒/24 小时。</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8</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故障自检功能具有故障自检功能，故障自检达到板卡芯片级。 在系统、设备层面上监测信号状态和设备运行情况，进一步保障前端系统的可靠运行。</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9</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其它远程控制功能节目信息设置功能、监测报警参数设置功能、远程控制管理功能、监测设备故障报警功能、监测设备异常自动处理功能、远程重启功能、远程存储功能、软件远程升级功能。</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可直接插入广西广播电视监测中心现有监测前端设备机箱使用；</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▲11</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能与广西广播电视监测中心现有监测前端设备广播电视监测主控板互相备份、直接替换；</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▲12</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能与广西广播电视监测中心现有的广播电视智慧监测监管平台兼容，无缝对接。</w:t>
            </w:r>
          </w:p>
          <w:p>
            <w:pPr>
              <w:jc w:val="both"/>
              <w:rPr>
                <w:color w:val="000000"/>
                <w:sz w:val="24"/>
                <w:szCs w:val="20"/>
              </w:rPr>
            </w:pPr>
            <w:bookmarkStart w:id="6" w:name="_GoBack"/>
            <w:bookmarkEnd w:id="6"/>
            <w:r>
              <w:rPr>
                <w:rFonts w:hint="eastAsia" w:ascii="仿宋" w:hAnsi="仿宋" w:eastAsia="仿宋" w:cs="仿宋"/>
                <w:color w:val="auto"/>
                <w:kern w:val="0"/>
                <w:sz w:val="21"/>
                <w:szCs w:val="21"/>
                <w:highlight w:val="none"/>
              </w:rPr>
              <w:t>▲13</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满足广西地面数字电视监测前端设备技术要求。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jc w:val="center"/>
        </w:trPr>
        <w:tc>
          <w:tcPr>
            <w:tcW w:w="318" w:type="dxa"/>
            <w:vAlign w:val="center"/>
          </w:tcPr>
          <w:p>
            <w:pPr>
              <w:tabs>
                <w:tab w:val="left" w:pos="180"/>
                <w:tab w:val="left" w:pos="1620"/>
              </w:tabs>
              <w:spacing w:line="360" w:lineRule="auto"/>
              <w:jc w:val="center"/>
              <w:rPr>
                <w:rFonts w:hint="eastAsia" w:eastAsia="宋体"/>
                <w:color w:val="000000"/>
                <w:sz w:val="24"/>
                <w:szCs w:val="20"/>
                <w:lang w:val="en-US" w:eastAsia="zh-CN"/>
              </w:rPr>
            </w:pPr>
            <w:r>
              <w:rPr>
                <w:rFonts w:hint="eastAsia"/>
                <w:color w:val="000000"/>
                <w:sz w:val="24"/>
                <w:szCs w:val="20"/>
                <w:lang w:val="en-US" w:eastAsia="zh-CN"/>
              </w:rPr>
              <w:t>2</w:t>
            </w:r>
          </w:p>
        </w:tc>
        <w:tc>
          <w:tcPr>
            <w:tcW w:w="1200" w:type="dxa"/>
            <w:vAlign w:val="center"/>
          </w:tcPr>
          <w:p>
            <w:pPr>
              <w:tabs>
                <w:tab w:val="left" w:pos="180"/>
                <w:tab w:val="left" w:pos="1620"/>
              </w:tabs>
              <w:spacing w:line="360" w:lineRule="auto"/>
              <w:jc w:val="center"/>
              <w:rPr>
                <w:color w:val="000000"/>
                <w:sz w:val="24"/>
                <w:szCs w:val="20"/>
              </w:rPr>
            </w:pPr>
            <w:r>
              <w:rPr>
                <w:rFonts w:hint="eastAsia" w:ascii="仿宋" w:hAnsi="仿宋" w:eastAsia="仿宋" w:cs="仿宋"/>
                <w:color w:val="auto"/>
                <w:kern w:val="0"/>
                <w:sz w:val="21"/>
                <w:szCs w:val="21"/>
                <w:highlight w:val="none"/>
              </w:rPr>
              <w:t>CPCI刀片式DTMB数字电视信号监测板</w:t>
            </w:r>
          </w:p>
        </w:tc>
        <w:tc>
          <w:tcPr>
            <w:tcW w:w="570" w:type="dxa"/>
            <w:gridSpan w:val="2"/>
            <w:vAlign w:val="center"/>
          </w:tcPr>
          <w:p>
            <w:pPr>
              <w:tabs>
                <w:tab w:val="left" w:pos="180"/>
                <w:tab w:val="left" w:pos="1620"/>
              </w:tabs>
              <w:spacing w:line="360" w:lineRule="auto"/>
              <w:jc w:val="center"/>
              <w:rPr>
                <w:rFonts w:hint="eastAsia" w:eastAsia="宋体"/>
                <w:color w:val="000000"/>
                <w:sz w:val="24"/>
                <w:szCs w:val="20"/>
                <w:lang w:val="en-US" w:eastAsia="zh-CN"/>
              </w:rPr>
            </w:pPr>
            <w:r>
              <w:rPr>
                <w:rFonts w:hint="eastAsia"/>
                <w:color w:val="000000"/>
                <w:sz w:val="24"/>
                <w:szCs w:val="20"/>
                <w:lang w:val="en-US" w:eastAsia="zh-CN"/>
              </w:rPr>
              <w:t>3</w:t>
            </w:r>
          </w:p>
        </w:tc>
        <w:tc>
          <w:tcPr>
            <w:tcW w:w="525" w:type="dxa"/>
            <w:vAlign w:val="center"/>
          </w:tcPr>
          <w:p>
            <w:pPr>
              <w:tabs>
                <w:tab w:val="left" w:pos="180"/>
                <w:tab w:val="left" w:pos="1620"/>
              </w:tabs>
              <w:spacing w:line="360" w:lineRule="auto"/>
              <w:jc w:val="center"/>
              <w:rPr>
                <w:rFonts w:hint="eastAsia" w:eastAsia="宋体"/>
                <w:color w:val="000000"/>
                <w:sz w:val="24"/>
                <w:szCs w:val="20"/>
                <w:lang w:val="en-US" w:eastAsia="zh-CN"/>
              </w:rPr>
            </w:pPr>
            <w:r>
              <w:rPr>
                <w:rFonts w:hint="eastAsia"/>
                <w:color w:val="000000"/>
                <w:sz w:val="24"/>
                <w:szCs w:val="20"/>
                <w:lang w:val="en-US" w:eastAsia="zh-CN"/>
              </w:rPr>
              <w:t>块</w:t>
            </w:r>
          </w:p>
        </w:tc>
        <w:tc>
          <w:tcPr>
            <w:tcW w:w="930" w:type="dxa"/>
            <w:vAlign w:val="center"/>
          </w:tcPr>
          <w:p>
            <w:pPr>
              <w:tabs>
                <w:tab w:val="left" w:pos="180"/>
                <w:tab w:val="left" w:pos="1620"/>
              </w:tabs>
              <w:spacing w:line="360" w:lineRule="auto"/>
              <w:jc w:val="center"/>
              <w:rPr>
                <w:rFonts w:hint="default" w:eastAsia="宋体"/>
                <w:color w:val="000000"/>
                <w:sz w:val="24"/>
                <w:szCs w:val="20"/>
                <w:lang w:val="en-US" w:eastAsia="zh-CN"/>
              </w:rPr>
            </w:pPr>
            <w:r>
              <w:rPr>
                <w:rFonts w:hint="eastAsia"/>
                <w:color w:val="000000"/>
                <w:sz w:val="24"/>
                <w:szCs w:val="20"/>
                <w:lang w:val="en-US" w:eastAsia="zh-CN"/>
              </w:rPr>
              <w:t>20067</w:t>
            </w:r>
          </w:p>
        </w:tc>
        <w:tc>
          <w:tcPr>
            <w:tcW w:w="983" w:type="dxa"/>
            <w:vAlign w:val="center"/>
          </w:tcPr>
          <w:p>
            <w:pPr>
              <w:tabs>
                <w:tab w:val="left" w:pos="180"/>
                <w:tab w:val="left" w:pos="1620"/>
              </w:tabs>
              <w:spacing w:line="360" w:lineRule="auto"/>
              <w:jc w:val="center"/>
              <w:rPr>
                <w:rFonts w:hint="default" w:eastAsia="宋体"/>
                <w:color w:val="000000"/>
                <w:sz w:val="24"/>
                <w:szCs w:val="20"/>
                <w:lang w:val="en-US" w:eastAsia="zh-CN"/>
              </w:rPr>
            </w:pPr>
            <w:r>
              <w:rPr>
                <w:rFonts w:hint="eastAsia"/>
                <w:color w:val="000000"/>
                <w:sz w:val="24"/>
                <w:szCs w:val="20"/>
                <w:lang w:val="en-US" w:eastAsia="zh-CN"/>
              </w:rPr>
              <w:t>60200</w:t>
            </w:r>
          </w:p>
        </w:tc>
        <w:tc>
          <w:tcPr>
            <w:tcW w:w="6324" w:type="dxa"/>
            <w:vAlign w:val="top"/>
          </w:tcPr>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性能指标要求：</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 至少可同时采集监测2个频点以上DTMB数字电视信号；</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 节目一对一监测和轮巡监测两种方式可选；</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▲(3)板卡支持 CompactPCI 标准；</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(4)刀片式板卡，板卡参考尺寸:CPCI 标准“160mm*233.35mm”(6U卡)尺寸；</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(5)后装载板卡，实现后面连接板卡的接口,采用插卡式结构,支持热插拔；</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 视音频响应时间≤2 秒；</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 测量误差：电平测量准确度±2dBμv；</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(8) 频率范围：45MHz-870MHz；</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(9) 射频接口：75Ω  F型接口；</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(10)功率电平测量范围：(40dBμV～110dBμV)；</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功能要求：</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 射频层监测功能支持射频层的监测。包括：</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a.射频信号指标测量：可对通道 RF功率电平、载噪比、误码率、MER等射频指标实时监测及报警；</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b.射频指标参数报警：对通道性能指标的参数进行实时比对和报警，并能提供报警阈值设定；信道失锁即监测模块不能够锁定信号时进行报警。</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 TS 流质量监测功能</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a.TR101 290 实时报警:根据 DVB TR101 290 技术规范，进行 1、2、3 级的错误监测。主要有同步丢失、同步字节错、PAT 错、连续记数错、PMT 错、PID 错；传输错、CRC 校验错、PCR 错、PCR 精度错、CAT 错；NIT 错、缓冲器错、未指定的PID 错、EIT 错、SDT 错、RST 错、TDT 错等。</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b.TS 流的基本结构信息监测:能实现 TS 流的基本结构信息监测，包括 TS 流的信息构成、TS 包 的包长、PSI/SI 表的传输间隔、传输流的 ID、PID 的数量、 网络 ID 和网络名称。</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c.码流带宽实时监测:能实现码流带宽分析功能，包括整个 TS 流总码率的最小值、最大值、有效值、当前值、TS 流中每路节目的码率和所 占带宽的比率、PSI/SI 中每个 PES 的码率、空包率和其它数据的码率。</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d.PSI/SI 表的实时监测:能实现对 PSI/SI 表单的解析其中 PSI 包括：PAT(节目关联表)、PMT(节目映射表)、CAT(条件接收表)、NIT(网络信息表)，SI 包括：BAT(业务群关联表)、SDT(业务 描述表)、EIT(时间信息表)、RST(运行状态表)、TDT(时间和 日期表)、TOT(时间偏移表)、ST(填充表)、SIT(选择信息表)、DIT(间断信息表)。</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e.报警参数的设置:能实现对每个监测内容及设定的域值保存成文件，在进行监测或轮巡监测时，将实时监测参数与保存的文件参数做实时的比对，当实际工作参数与此不符或者超出预先设定范围，能自动报警。</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 固定和轮巡监测功能</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a.可实现固定频点中所有节目一对一实时监测；</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b.可实现一个接入点下对多个频点节目进行轮巡监测。如果轮巡到某个频点出现报警的时候， 该监测模块支持自动停止轮巡，一直停留在该频点持续进行监测，直至报警消失，其它监测模块则继续按照配置进行轮巡。</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可直接插入广西广播电视监测中心现有监测前端设备机箱使用；</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能与广西广播电视监测中心现有监测前端设备 DTMB 数字电视信号监测板互相备份、直接替换；</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能与广西广播电视监测中心现有的广播电视智慧监测监管平台兼容，无缝对接。</w:t>
            </w:r>
          </w:p>
          <w:p>
            <w:pPr>
              <w:shd w:val="clear" w:color="auto" w:fill="auto"/>
              <w:spacing w:beforeLines="0" w:afterLines="0" w:line="240" w:lineRule="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▲6</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满足广西地面数字电视监测前端设备技术要求。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jc w:val="center"/>
        </w:trPr>
        <w:tc>
          <w:tcPr>
            <w:tcW w:w="318" w:type="dxa"/>
            <w:vAlign w:val="center"/>
          </w:tcPr>
          <w:p>
            <w:pPr>
              <w:tabs>
                <w:tab w:val="left" w:pos="180"/>
                <w:tab w:val="left" w:pos="1620"/>
              </w:tabs>
              <w:spacing w:line="360" w:lineRule="auto"/>
              <w:jc w:val="center"/>
              <w:rPr>
                <w:rFonts w:hint="eastAsia" w:eastAsia="宋体"/>
                <w:color w:val="000000"/>
                <w:sz w:val="24"/>
                <w:szCs w:val="20"/>
                <w:lang w:val="en-US" w:eastAsia="zh-CN"/>
              </w:rPr>
            </w:pPr>
            <w:r>
              <w:rPr>
                <w:rFonts w:hint="eastAsia"/>
                <w:color w:val="000000"/>
                <w:sz w:val="24"/>
                <w:szCs w:val="20"/>
                <w:lang w:val="en-US" w:eastAsia="zh-CN"/>
              </w:rPr>
              <w:t>3</w:t>
            </w:r>
          </w:p>
        </w:tc>
        <w:tc>
          <w:tcPr>
            <w:tcW w:w="1200" w:type="dxa"/>
            <w:vAlign w:val="center"/>
          </w:tcPr>
          <w:p>
            <w:pPr>
              <w:tabs>
                <w:tab w:val="left" w:pos="180"/>
                <w:tab w:val="left" w:pos="1620"/>
              </w:tabs>
              <w:spacing w:line="360" w:lineRule="auto"/>
              <w:jc w:val="center"/>
              <w:rPr>
                <w:color w:val="000000"/>
                <w:sz w:val="24"/>
                <w:szCs w:val="20"/>
              </w:rPr>
            </w:pPr>
            <w:r>
              <w:rPr>
                <w:rFonts w:hint="eastAsia" w:ascii="仿宋" w:hAnsi="仿宋" w:eastAsia="仿宋" w:cs="仿宋"/>
                <w:color w:val="auto"/>
                <w:kern w:val="0"/>
                <w:sz w:val="21"/>
                <w:szCs w:val="21"/>
                <w:highlight w:val="none"/>
              </w:rPr>
              <w:t>CPCI刀片式DTMB数字电视信号转码板</w:t>
            </w:r>
          </w:p>
        </w:tc>
        <w:tc>
          <w:tcPr>
            <w:tcW w:w="570" w:type="dxa"/>
            <w:gridSpan w:val="2"/>
            <w:vAlign w:val="center"/>
          </w:tcPr>
          <w:p>
            <w:pPr>
              <w:tabs>
                <w:tab w:val="left" w:pos="180"/>
                <w:tab w:val="left" w:pos="1620"/>
              </w:tabs>
              <w:spacing w:line="360" w:lineRule="auto"/>
              <w:jc w:val="center"/>
              <w:rPr>
                <w:rFonts w:hint="eastAsia" w:eastAsia="宋体"/>
                <w:color w:val="000000"/>
                <w:sz w:val="24"/>
                <w:szCs w:val="20"/>
                <w:lang w:val="en-US" w:eastAsia="zh-CN"/>
              </w:rPr>
            </w:pPr>
            <w:r>
              <w:rPr>
                <w:rFonts w:hint="eastAsia"/>
                <w:color w:val="000000"/>
                <w:sz w:val="24"/>
                <w:szCs w:val="20"/>
                <w:lang w:val="en-US" w:eastAsia="zh-CN"/>
              </w:rPr>
              <w:t>3</w:t>
            </w:r>
          </w:p>
        </w:tc>
        <w:tc>
          <w:tcPr>
            <w:tcW w:w="525" w:type="dxa"/>
            <w:vAlign w:val="center"/>
          </w:tcPr>
          <w:p>
            <w:pPr>
              <w:tabs>
                <w:tab w:val="left" w:pos="180"/>
                <w:tab w:val="left" w:pos="1620"/>
              </w:tabs>
              <w:spacing w:line="360" w:lineRule="auto"/>
              <w:jc w:val="center"/>
              <w:rPr>
                <w:rFonts w:hint="eastAsia" w:eastAsia="宋体"/>
                <w:color w:val="000000"/>
                <w:sz w:val="24"/>
                <w:szCs w:val="20"/>
                <w:lang w:val="en-US" w:eastAsia="zh-CN"/>
              </w:rPr>
            </w:pPr>
            <w:r>
              <w:rPr>
                <w:rFonts w:hint="eastAsia"/>
                <w:color w:val="000000"/>
                <w:sz w:val="24"/>
                <w:szCs w:val="20"/>
                <w:lang w:val="en-US" w:eastAsia="zh-CN"/>
              </w:rPr>
              <w:t>块</w:t>
            </w:r>
          </w:p>
        </w:tc>
        <w:tc>
          <w:tcPr>
            <w:tcW w:w="930" w:type="dxa"/>
            <w:vAlign w:val="center"/>
          </w:tcPr>
          <w:p>
            <w:pPr>
              <w:tabs>
                <w:tab w:val="left" w:pos="180"/>
                <w:tab w:val="left" w:pos="1620"/>
              </w:tabs>
              <w:spacing w:line="360" w:lineRule="auto"/>
              <w:jc w:val="center"/>
              <w:rPr>
                <w:rFonts w:hint="default" w:eastAsia="宋体"/>
                <w:color w:val="000000"/>
                <w:sz w:val="24"/>
                <w:szCs w:val="20"/>
                <w:lang w:val="en-US" w:eastAsia="zh-CN"/>
              </w:rPr>
            </w:pPr>
            <w:r>
              <w:rPr>
                <w:rFonts w:hint="eastAsia"/>
                <w:color w:val="000000"/>
                <w:sz w:val="24"/>
                <w:szCs w:val="20"/>
                <w:lang w:val="en-US" w:eastAsia="zh-CN"/>
              </w:rPr>
              <w:t>24700</w:t>
            </w:r>
          </w:p>
        </w:tc>
        <w:tc>
          <w:tcPr>
            <w:tcW w:w="983" w:type="dxa"/>
            <w:vAlign w:val="center"/>
          </w:tcPr>
          <w:p>
            <w:pPr>
              <w:tabs>
                <w:tab w:val="left" w:pos="180"/>
                <w:tab w:val="left" w:pos="1620"/>
              </w:tabs>
              <w:spacing w:line="360" w:lineRule="auto"/>
              <w:jc w:val="center"/>
              <w:rPr>
                <w:rFonts w:hint="default" w:eastAsia="宋体"/>
                <w:color w:val="000000"/>
                <w:sz w:val="24"/>
                <w:szCs w:val="20"/>
                <w:lang w:val="en-US" w:eastAsia="zh-CN"/>
              </w:rPr>
            </w:pPr>
            <w:r>
              <w:rPr>
                <w:rFonts w:hint="eastAsia"/>
                <w:color w:val="000000"/>
                <w:sz w:val="24"/>
                <w:szCs w:val="20"/>
                <w:lang w:val="en-US" w:eastAsia="zh-CN"/>
              </w:rPr>
              <w:t>74100</w:t>
            </w:r>
          </w:p>
        </w:tc>
        <w:tc>
          <w:tcPr>
            <w:tcW w:w="6324" w:type="dxa"/>
            <w:vAlign w:val="center"/>
          </w:tcPr>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内置视音频编解码处理芯片，满足单板卡支持8-48路高标清视音频信号硬件转码；</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采用插卡式结构，支持热插拔；</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采用ARM嵌入式 CPU，安装操作系统和应用软件；</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板卡支持 CompactPCI 标准；</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同时支持 IPv4 和 IPv6 协议；</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支持 IP 单播/组播流数据传输；</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刀片式板卡，板卡参考尺寸: CPCI 标准“160mm*233.35mm”(6U卡)尺寸；</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8</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支持一对一转码,并支持轮巡转码；</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▲9</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支持 Over IP传输，并支持 PCI 总线传输；</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10</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性能指标：</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▲(1)视音频响应时间≤2 秒；</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(2)视频解码格式支持：HEVC(H.265)，H.264，AVS+，AVS，MPEG2。</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(3)输入视频格式支持MPEG2/H.264/H.265/AVS+/AVS2, 输入音频格式支持MP2/AAC/AC3/DRA；输出视频格式支持H.264/H.265，输出音频格式支持AAC/MP2/AC3。</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11</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具备对节目的固定和周期性转码功能。对于监测任务中的重要节目，能实现一对一的实时转码。为了节省系统的硬件资源，能实现广播电视节目轮巡转码多套节目；</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12</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内置安全播出监测报警功能，主要功能如下：</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（1）“图像静止”监测报警功能，各频道出现画面静止，系统自动报警并记录，报警门限与延时时间（1-600秒）可调。</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（2）“彩条”监测报警功能，各频道出现彩条，系统自动报警并记录，报警门限与延时时间（1-600秒）可调。</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（3）“黑场”监测报警功能，各频道出现黑场，系统自动报警并记录，报警门限与延时时间（1-600秒）可调。</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（4）“无伴音”监测报警，各频道出现音频静音，系统自动报警并记录，报警门限与延时时间（1-600秒）可调。</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▲13</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可直接插入广西广播电视监测中心现有监测前端设备机箱使用；</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▲14</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能与广西广播电视监测中心现有监测前端设备数字电视信号转码板互相备份、直接替换；</w:t>
            </w:r>
          </w:p>
          <w:p>
            <w:pPr>
              <w:shd w:val="clear" w:color="auto" w:fill="auto"/>
              <w:spacing w:beforeLines="0" w:afterLines="0" w:line="240" w:lineRule="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▲15</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能与广西广播电视监测中心现有的广播电视智慧监测监管平台兼容，无缝对接。</w:t>
            </w:r>
          </w:p>
          <w:p>
            <w:pPr>
              <w:jc w:val="both"/>
              <w:rPr>
                <w:color w:val="000000"/>
                <w:sz w:val="24"/>
                <w:szCs w:val="20"/>
              </w:rPr>
            </w:pPr>
            <w:r>
              <w:rPr>
                <w:rFonts w:hint="eastAsia" w:ascii="仿宋" w:hAnsi="仿宋" w:eastAsia="仿宋" w:cs="仿宋"/>
                <w:color w:val="auto"/>
                <w:kern w:val="0"/>
                <w:sz w:val="21"/>
                <w:szCs w:val="21"/>
                <w:highlight w:val="none"/>
              </w:rPr>
              <w:t>▲16</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满足广西地面数字电视监测前端设备技术要求。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850" w:type="dxa"/>
            <w:gridSpan w:val="8"/>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218" w:firstLineChars="104"/>
              <w:rPr>
                <w:rFonts w:ascii="宋体" w:hAnsi="宋体" w:cs="宋体"/>
              </w:rPr>
            </w:pPr>
            <w:r>
              <w:rPr>
                <w:rFonts w:hint="eastAsia" w:ascii="宋体" w:hAnsi="宋体" w:cs="宋体"/>
              </w:rPr>
              <w:t xml:space="preserve">商务要求： </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912"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left"/>
              <w:rPr>
                <w:color w:val="000000"/>
                <w:sz w:val="24"/>
                <w:szCs w:val="20"/>
              </w:rPr>
            </w:pPr>
            <w:r>
              <w:rPr>
                <w:rFonts w:hint="eastAsia"/>
                <w:color w:val="000000"/>
                <w:sz w:val="24"/>
                <w:szCs w:val="20"/>
              </w:rPr>
              <w:t>一、合同签订期</w:t>
            </w:r>
          </w:p>
        </w:tc>
        <w:tc>
          <w:tcPr>
            <w:tcW w:w="8938"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color w:val="000000"/>
                <w:sz w:val="24"/>
                <w:szCs w:val="20"/>
              </w:rPr>
            </w:pPr>
            <w:r>
              <w:rPr>
                <w:rFonts w:hint="eastAsia" w:ascii="宋体" w:hAnsi="宋体" w:cs="宋体"/>
                <w:bCs/>
                <w:color w:val="000000"/>
                <w:kern w:val="0"/>
                <w:szCs w:val="21"/>
              </w:rPr>
              <w:t>自成交通知书发出之日起10个工作日内。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912"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40" w:firstLineChars="100"/>
              <w:jc w:val="left"/>
              <w:rPr>
                <w:color w:val="000000"/>
                <w:sz w:val="24"/>
                <w:szCs w:val="20"/>
              </w:rPr>
            </w:pPr>
            <w:r>
              <w:rPr>
                <w:rFonts w:hint="eastAsia"/>
                <w:color w:val="000000"/>
                <w:sz w:val="24"/>
                <w:szCs w:val="20"/>
              </w:rPr>
              <w:t>二、服务期限</w:t>
            </w:r>
          </w:p>
        </w:tc>
        <w:tc>
          <w:tcPr>
            <w:tcW w:w="8938"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color w:val="000000"/>
                <w:sz w:val="24"/>
                <w:szCs w:val="20"/>
              </w:rPr>
            </w:pPr>
            <w:r>
              <w:rPr>
                <w:rFonts w:hint="eastAsia" w:ascii="仿宋" w:hAnsi="仿宋" w:eastAsia="仿宋" w:cs="仿宋"/>
                <w:color w:val="auto"/>
                <w:kern w:val="0"/>
                <w:sz w:val="21"/>
                <w:szCs w:val="21"/>
                <w:highlight w:val="none"/>
              </w:rPr>
              <w:t>▲</w:t>
            </w:r>
            <w:r>
              <w:rPr>
                <w:rFonts w:hint="eastAsia" w:ascii="宋体" w:hAnsi="宋体" w:cs="宋体"/>
                <w:bCs/>
                <w:color w:val="000000"/>
                <w:kern w:val="0"/>
                <w:szCs w:val="21"/>
              </w:rPr>
              <w:t>自合同签订之日起</w:t>
            </w:r>
            <w:r>
              <w:rPr>
                <w:rFonts w:hint="eastAsia" w:ascii="宋体" w:hAnsi="宋体" w:cs="宋体"/>
                <w:bCs/>
                <w:color w:val="000000"/>
                <w:kern w:val="0"/>
                <w:szCs w:val="21"/>
                <w:lang w:val="en-US" w:eastAsia="zh-CN"/>
              </w:rPr>
              <w:t>3</w:t>
            </w:r>
            <w:r>
              <w:rPr>
                <w:rFonts w:hint="eastAsia" w:ascii="宋体" w:hAnsi="宋体" w:cs="宋体"/>
                <w:bCs/>
                <w:color w:val="000000"/>
                <w:kern w:val="0"/>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90" w:hRule="atLeast"/>
          <w:jc w:val="center"/>
        </w:trPr>
        <w:tc>
          <w:tcPr>
            <w:tcW w:w="1912"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40" w:firstLineChars="100"/>
              <w:jc w:val="left"/>
              <w:rPr>
                <w:color w:val="000000"/>
                <w:sz w:val="24"/>
                <w:szCs w:val="20"/>
              </w:rPr>
            </w:pPr>
            <w:r>
              <w:rPr>
                <w:rFonts w:hint="eastAsia"/>
                <w:color w:val="000000"/>
                <w:sz w:val="24"/>
                <w:szCs w:val="20"/>
              </w:rPr>
              <w:t>三、服务要求</w:t>
            </w:r>
          </w:p>
        </w:tc>
        <w:tc>
          <w:tcPr>
            <w:tcW w:w="8938"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rFonts w:hint="eastAsia" w:ascii="宋体" w:hAnsi="宋体" w:eastAsia="宋体" w:cs="宋体"/>
                <w:bCs/>
                <w:color w:val="000000"/>
                <w:kern w:val="0"/>
                <w:szCs w:val="21"/>
                <w:lang w:eastAsia="zh-CN"/>
              </w:rPr>
            </w:pPr>
            <w:r>
              <w:rPr>
                <w:rFonts w:hint="eastAsia" w:ascii="仿宋" w:hAnsi="仿宋" w:eastAsia="仿宋" w:cs="仿宋"/>
                <w:color w:val="auto"/>
                <w:kern w:val="0"/>
                <w:sz w:val="21"/>
                <w:szCs w:val="21"/>
                <w:highlight w:val="none"/>
              </w:rPr>
              <w:t>▲</w:t>
            </w:r>
            <w:r>
              <w:rPr>
                <w:rFonts w:hint="eastAsia" w:ascii="宋体" w:hAnsi="宋体" w:cs="宋体"/>
                <w:bCs/>
                <w:color w:val="000000"/>
                <w:kern w:val="0"/>
                <w:szCs w:val="21"/>
              </w:rPr>
              <w:t>1、质量保证期：</w:t>
            </w:r>
            <w:r>
              <w:rPr>
                <w:rFonts w:hint="eastAsia"/>
                <w:lang w:val="en-US" w:eastAsia="zh-CN"/>
              </w:rPr>
              <w:t>自验收合格交付使用之日起，质量保证期不少于3年，</w:t>
            </w:r>
            <w:r>
              <w:rPr>
                <w:rFonts w:hint="eastAsia" w:ascii="宋体" w:hAnsi="宋体" w:cs="宋体"/>
                <w:bCs/>
                <w:color w:val="000000"/>
                <w:kern w:val="0"/>
                <w:szCs w:val="21"/>
              </w:rPr>
              <w:t>硬件质量保证期 3 年，软件质保期1年（验收合格交付使用之日起）</w:t>
            </w:r>
            <w:r>
              <w:rPr>
                <w:rFonts w:hint="eastAsia" w:ascii="宋体" w:hAnsi="宋体" w:cs="宋体"/>
                <w:bCs/>
                <w:color w:val="000000"/>
                <w:kern w:val="0"/>
                <w:szCs w:val="21"/>
                <w:lang w:eastAsia="zh-CN"/>
              </w:rPr>
              <w:t>。</w:t>
            </w:r>
          </w:p>
          <w:p>
            <w:pPr>
              <w:adjustRightInd w:val="0"/>
              <w:snapToGrid w:val="0"/>
              <w:spacing w:line="360" w:lineRule="exact"/>
              <w:ind w:firstLine="210" w:firstLineChars="100"/>
              <w:rPr>
                <w:rFonts w:ascii="宋体" w:hAnsi="宋体" w:cs="宋体"/>
                <w:bCs/>
                <w:color w:val="000000"/>
                <w:kern w:val="0"/>
                <w:szCs w:val="21"/>
              </w:rPr>
            </w:pPr>
            <w:r>
              <w:rPr>
                <w:rFonts w:hint="eastAsia" w:ascii="仿宋" w:hAnsi="仿宋" w:eastAsia="仿宋" w:cs="仿宋"/>
                <w:color w:val="auto"/>
                <w:kern w:val="0"/>
                <w:sz w:val="21"/>
                <w:szCs w:val="21"/>
                <w:highlight w:val="none"/>
              </w:rPr>
              <w:t>▲</w:t>
            </w:r>
            <w:r>
              <w:rPr>
                <w:rFonts w:hint="eastAsia" w:ascii="宋体" w:hAnsi="宋体" w:cs="宋体"/>
                <w:bCs/>
                <w:color w:val="000000"/>
                <w:kern w:val="0"/>
                <w:szCs w:val="21"/>
              </w:rPr>
              <w:t>2、质保期内系统维护的范围包括：</w:t>
            </w:r>
            <w:r>
              <w:rPr>
                <w:rFonts w:hint="eastAsia" w:ascii="宋体" w:hAnsi="宋体" w:cs="宋体"/>
                <w:bCs/>
                <w:color w:val="000000"/>
                <w:kern w:val="0"/>
                <w:szCs w:val="21"/>
                <w:lang w:val="en-US" w:eastAsia="zh-CN"/>
              </w:rPr>
              <w:t>设备</w:t>
            </w:r>
            <w:r>
              <w:rPr>
                <w:rFonts w:hint="eastAsia" w:ascii="宋体" w:hAnsi="宋体" w:cs="宋体"/>
                <w:bCs/>
                <w:color w:val="000000"/>
                <w:kern w:val="0"/>
                <w:szCs w:val="21"/>
              </w:rPr>
              <w:t>的正常运行和维护。</w:t>
            </w:r>
          </w:p>
          <w:p>
            <w:pPr>
              <w:adjustRightInd w:val="0"/>
              <w:snapToGrid w:val="0"/>
              <w:spacing w:line="360" w:lineRule="exact"/>
              <w:ind w:firstLine="210" w:firstLineChars="100"/>
              <w:rPr>
                <w:rFonts w:ascii="宋体" w:hAnsi="宋体" w:cs="宋体"/>
                <w:bCs/>
                <w:color w:val="000000"/>
                <w:kern w:val="0"/>
                <w:szCs w:val="21"/>
              </w:rPr>
            </w:pPr>
            <w:r>
              <w:rPr>
                <w:rFonts w:hint="eastAsia" w:ascii="仿宋" w:hAnsi="仿宋" w:eastAsia="仿宋" w:cs="仿宋"/>
                <w:color w:val="auto"/>
                <w:kern w:val="0"/>
                <w:sz w:val="21"/>
                <w:szCs w:val="21"/>
                <w:highlight w:val="none"/>
              </w:rPr>
              <w:t>▲</w:t>
            </w:r>
            <w:r>
              <w:rPr>
                <w:rFonts w:hint="eastAsia" w:ascii="宋体" w:hAnsi="宋体" w:cs="宋体"/>
                <w:bCs/>
                <w:color w:val="000000"/>
                <w:kern w:val="0"/>
                <w:szCs w:val="21"/>
              </w:rPr>
              <w:t>3、质保期内相关零件免费更换服务。</w:t>
            </w:r>
          </w:p>
          <w:p>
            <w:pPr>
              <w:adjustRightInd w:val="0"/>
              <w:snapToGrid w:val="0"/>
              <w:spacing w:line="360" w:lineRule="exact"/>
              <w:ind w:firstLine="210" w:firstLineChars="100"/>
              <w:rPr>
                <w:rFonts w:hint="eastAsia" w:ascii="宋体" w:hAnsi="宋体" w:cs="宋体"/>
                <w:bCs/>
                <w:color w:val="000000"/>
                <w:kern w:val="0"/>
                <w:szCs w:val="21"/>
              </w:rPr>
            </w:pPr>
            <w:r>
              <w:rPr>
                <w:rFonts w:hint="eastAsia" w:ascii="仿宋" w:hAnsi="仿宋" w:eastAsia="仿宋" w:cs="仿宋"/>
                <w:color w:val="auto"/>
                <w:kern w:val="0"/>
                <w:sz w:val="21"/>
                <w:szCs w:val="21"/>
                <w:highlight w:val="none"/>
              </w:rPr>
              <w:t>▲</w:t>
            </w:r>
            <w:r>
              <w:rPr>
                <w:rFonts w:hint="eastAsia" w:ascii="宋体" w:hAnsi="宋体" w:cs="宋体"/>
                <w:bCs/>
                <w:color w:val="000000"/>
                <w:kern w:val="0"/>
                <w:szCs w:val="21"/>
              </w:rPr>
              <w:t>4、处理问题响应时间：接到采购人处理问题通知后2个小时内到达采购人指定现场。</w:t>
            </w:r>
          </w:p>
          <w:p>
            <w:pPr>
              <w:adjustRightInd w:val="0"/>
              <w:snapToGrid w:val="0"/>
              <w:spacing w:line="360" w:lineRule="exact"/>
              <w:ind w:firstLine="210" w:firstLineChars="100"/>
            </w:pPr>
            <w:r>
              <w:rPr>
                <w:rFonts w:hint="eastAsia" w:ascii="仿宋" w:hAnsi="仿宋" w:eastAsia="仿宋" w:cs="仿宋"/>
                <w:color w:val="auto"/>
                <w:kern w:val="0"/>
                <w:sz w:val="21"/>
                <w:szCs w:val="21"/>
                <w:highlight w:val="none"/>
              </w:rPr>
              <w:t>▲</w:t>
            </w:r>
            <w:r>
              <w:rPr>
                <w:rFonts w:hint="eastAsia" w:ascii="宋体" w:hAnsi="宋体" w:eastAsia="仿宋" w:cs="宋体"/>
                <w:bCs/>
                <w:color w:val="000000"/>
                <w:kern w:val="0"/>
                <w:szCs w:val="21"/>
                <w:lang w:val="en-US" w:eastAsia="zh-CN"/>
              </w:rPr>
              <w:t>5</w:t>
            </w:r>
            <w:r>
              <w:rPr>
                <w:rFonts w:hint="eastAsia" w:ascii="宋体" w:hAnsi="宋体" w:cs="宋体"/>
                <w:bCs/>
                <w:color w:val="000000"/>
                <w:kern w:val="0"/>
                <w:szCs w:val="21"/>
              </w:rPr>
              <w:t>、</w:t>
            </w:r>
            <w:r>
              <w:rPr>
                <w:rFonts w:hint="eastAsia" w:ascii="宋体" w:hAnsi="宋体" w:cs="宋体"/>
                <w:bCs/>
                <w:color w:val="000000"/>
                <w:kern w:val="0"/>
                <w:szCs w:val="21"/>
                <w:lang w:eastAsia="zh-CN"/>
              </w:rPr>
              <w:t>设备安装地点见附件</w:t>
            </w: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912"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40" w:firstLineChars="100"/>
              <w:jc w:val="left"/>
              <w:rPr>
                <w:color w:val="000000"/>
                <w:sz w:val="24"/>
                <w:szCs w:val="20"/>
              </w:rPr>
            </w:pPr>
            <w:r>
              <w:rPr>
                <w:rFonts w:hint="eastAsia"/>
                <w:color w:val="000000"/>
                <w:sz w:val="24"/>
                <w:szCs w:val="20"/>
              </w:rPr>
              <w:t>四、付款方式</w:t>
            </w:r>
          </w:p>
        </w:tc>
        <w:tc>
          <w:tcPr>
            <w:tcW w:w="8938"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6"/>
              <w:ind w:left="210" w:leftChars="100" w:firstLine="420" w:firstLineChars="200"/>
              <w:rPr>
                <w:color w:val="000000"/>
                <w:sz w:val="24"/>
                <w:szCs w:val="20"/>
              </w:rPr>
            </w:pPr>
            <w:r>
              <w:rPr>
                <w:rFonts w:hint="eastAsia" w:ascii="仿宋" w:hAnsi="仿宋" w:eastAsia="仿宋" w:cs="仿宋"/>
                <w:color w:val="auto"/>
                <w:kern w:val="0"/>
                <w:sz w:val="21"/>
                <w:szCs w:val="21"/>
                <w:highlight w:val="none"/>
              </w:rPr>
              <w:t>▲</w:t>
            </w:r>
            <w:r>
              <w:rPr>
                <w:rFonts w:hint="eastAsia" w:ascii="宋体" w:hAnsi="宋体" w:cs="宋体"/>
                <w:color w:val="000000"/>
                <w:sz w:val="21"/>
                <w:szCs w:val="16"/>
              </w:rPr>
              <w:t>签订合同后，货物安装调试完毕试运行正常后，采购人支付中标人合同总价90%合同款；设备正常试运行满6个月后，中标人可提出验收申请，经验收合格后采购人凭中标人提交的验收合格证明，采购人支付中标人合同总价10%合同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7" w:hRule="atLeast"/>
          <w:jc w:val="center"/>
        </w:trPr>
        <w:tc>
          <w:tcPr>
            <w:tcW w:w="1912"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40" w:firstLineChars="100"/>
              <w:jc w:val="left"/>
              <w:rPr>
                <w:color w:val="000000"/>
                <w:sz w:val="24"/>
                <w:szCs w:val="20"/>
              </w:rPr>
            </w:pPr>
            <w:r>
              <w:rPr>
                <w:rFonts w:hint="eastAsia"/>
                <w:color w:val="000000"/>
                <w:sz w:val="24"/>
                <w:szCs w:val="20"/>
              </w:rPr>
              <w:t>五、其他要求</w:t>
            </w:r>
          </w:p>
        </w:tc>
        <w:tc>
          <w:tcPr>
            <w:tcW w:w="8938"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val="0"/>
              <w:suppressLineNumbers w:val="0"/>
              <w:shd w:val="clear" w:color="auto" w:fill="auto"/>
              <w:spacing w:before="0" w:beforeAutospacing="0" w:after="0" w:afterAutospacing="0" w:line="400" w:lineRule="exact"/>
              <w:ind w:right="0" w:firstLine="210" w:firstLineChars="100"/>
              <w:jc w:val="both"/>
              <w:rPr>
                <w:rFonts w:hint="eastAsia"/>
                <w:lang w:val="en-US" w:eastAsia="zh-CN"/>
              </w:rPr>
            </w:pPr>
            <w:r>
              <w:rPr>
                <w:rFonts w:hint="eastAsia"/>
                <w:lang w:val="en-US" w:eastAsia="zh-CN"/>
              </w:rPr>
              <w:t>一、合同签订期：自中标通知书发出之日起15日内。</w:t>
            </w:r>
          </w:p>
          <w:p>
            <w:pPr>
              <w:keepNext w:val="0"/>
              <w:keepLines w:val="0"/>
              <w:widowControl w:val="0"/>
              <w:suppressLineNumbers w:val="0"/>
              <w:shd w:val="clear" w:color="auto" w:fill="auto"/>
              <w:spacing w:before="0" w:beforeAutospacing="0" w:after="0" w:afterAutospacing="0" w:line="400" w:lineRule="exact"/>
              <w:ind w:right="0"/>
              <w:jc w:val="both"/>
              <w:rPr>
                <w:rFonts w:hint="eastAsia"/>
                <w:lang w:val="en-US" w:eastAsia="zh-CN"/>
              </w:rPr>
            </w:pPr>
            <w:r>
              <w:rPr>
                <w:rFonts w:hint="eastAsia"/>
                <w:lang w:val="en-US" w:eastAsia="zh-CN"/>
              </w:rPr>
              <w:t>▲二、投标报价：本项目为固定总价合同，投标报价为采购人指定地点的现场交货价，包括：</w:t>
            </w:r>
          </w:p>
          <w:p>
            <w:pPr>
              <w:keepNext w:val="0"/>
              <w:keepLines w:val="0"/>
              <w:widowControl w:val="0"/>
              <w:suppressLineNumbers w:val="0"/>
              <w:shd w:val="clear" w:color="auto" w:fill="auto"/>
              <w:spacing w:before="0" w:beforeAutospacing="0" w:after="0" w:afterAutospacing="0" w:line="400" w:lineRule="exact"/>
              <w:ind w:right="0" w:firstLine="420" w:firstLineChars="200"/>
              <w:jc w:val="both"/>
              <w:rPr>
                <w:rFonts w:hint="eastAsia"/>
                <w:lang w:val="en-US" w:eastAsia="zh-CN"/>
              </w:rPr>
            </w:pPr>
            <w:r>
              <w:rPr>
                <w:rFonts w:hint="eastAsia"/>
                <w:lang w:val="en-US" w:eastAsia="zh-CN"/>
              </w:rPr>
              <w:t>1、货物的价格：包括货款、现场安装调试及验收费；</w:t>
            </w:r>
          </w:p>
          <w:p>
            <w:pPr>
              <w:keepNext w:val="0"/>
              <w:keepLines w:val="0"/>
              <w:widowControl w:val="0"/>
              <w:suppressLineNumbers w:val="0"/>
              <w:shd w:val="clear" w:color="auto" w:fill="auto"/>
              <w:spacing w:before="0" w:beforeAutospacing="0" w:after="0" w:afterAutospacing="0" w:line="400" w:lineRule="exact"/>
              <w:ind w:right="0" w:firstLine="420" w:firstLineChars="200"/>
              <w:jc w:val="both"/>
              <w:rPr>
                <w:rFonts w:hint="eastAsia"/>
                <w:lang w:val="en-US" w:eastAsia="zh-CN"/>
              </w:rPr>
            </w:pPr>
            <w:r>
              <w:rPr>
                <w:rFonts w:hint="eastAsia"/>
                <w:lang w:val="en-US" w:eastAsia="zh-CN"/>
              </w:rPr>
              <w:t>2、货物的标准附件、备品备件、专用工具的价格；</w:t>
            </w:r>
          </w:p>
          <w:p>
            <w:pPr>
              <w:keepNext w:val="0"/>
              <w:keepLines w:val="0"/>
              <w:widowControl w:val="0"/>
              <w:suppressLineNumbers w:val="0"/>
              <w:shd w:val="clear" w:color="auto" w:fill="auto"/>
              <w:spacing w:before="0" w:beforeAutospacing="0" w:after="0" w:afterAutospacing="0" w:line="400" w:lineRule="exact"/>
              <w:ind w:right="0" w:firstLine="420" w:firstLineChars="200"/>
              <w:jc w:val="both"/>
              <w:rPr>
                <w:rFonts w:hint="eastAsia"/>
                <w:lang w:val="en-US" w:eastAsia="zh-CN"/>
              </w:rPr>
            </w:pPr>
            <w:r>
              <w:rPr>
                <w:rFonts w:hint="eastAsia"/>
                <w:lang w:val="en-US" w:eastAsia="zh-CN"/>
              </w:rPr>
              <w:t>3、运输、二次运输、装卸、培训、技术支持、售后服务费；</w:t>
            </w:r>
          </w:p>
          <w:p>
            <w:pPr>
              <w:keepNext w:val="0"/>
              <w:keepLines w:val="0"/>
              <w:widowControl w:val="0"/>
              <w:suppressLineNumbers w:val="0"/>
              <w:shd w:val="clear" w:color="auto" w:fill="auto"/>
              <w:spacing w:before="0" w:beforeAutospacing="0" w:after="0" w:afterAutospacing="0" w:line="400" w:lineRule="exact"/>
              <w:ind w:right="0" w:firstLine="420" w:firstLineChars="200"/>
              <w:jc w:val="both"/>
              <w:rPr>
                <w:rFonts w:hint="eastAsia"/>
                <w:lang w:val="en-US" w:eastAsia="zh-CN"/>
              </w:rPr>
            </w:pPr>
            <w:r>
              <w:rPr>
                <w:rFonts w:hint="eastAsia"/>
                <w:lang w:val="en-US" w:eastAsia="zh-CN"/>
              </w:rPr>
              <w:t>4、保险费和各项税金、决算审计等费用。</w:t>
            </w:r>
          </w:p>
          <w:p>
            <w:pPr>
              <w:adjustRightInd w:val="0"/>
              <w:snapToGrid w:val="0"/>
              <w:spacing w:line="360" w:lineRule="exact"/>
              <w:ind w:firstLine="420" w:firstLineChars="200"/>
              <w:rPr>
                <w:rFonts w:hint="eastAsia" w:ascii="宋体" w:hAnsi="宋体" w:cs="宋体"/>
                <w:bCs/>
                <w:color w:val="000000"/>
                <w:kern w:val="0"/>
                <w:szCs w:val="21"/>
                <w:lang w:val="en-US" w:eastAsia="zh-CN"/>
              </w:rPr>
            </w:pPr>
            <w:r>
              <w:rPr>
                <w:rFonts w:hint="eastAsia" w:ascii="宋体" w:hAnsi="宋体" w:cs="宋体"/>
                <w:bCs/>
                <w:color w:val="000000"/>
                <w:kern w:val="0"/>
                <w:szCs w:val="21"/>
                <w:lang w:val="en-US" w:eastAsia="zh-CN"/>
              </w:rPr>
              <w:t>5、涉及人员的报酬、各项税金等及其他国家规定相关费用；</w:t>
            </w:r>
          </w:p>
          <w:p>
            <w:pPr>
              <w:adjustRightInd w:val="0"/>
              <w:snapToGrid w:val="0"/>
              <w:spacing w:line="360" w:lineRule="exact"/>
              <w:ind w:firstLine="420" w:firstLineChars="200"/>
              <w:rPr>
                <w:rFonts w:hint="eastAsia" w:ascii="宋体" w:hAnsi="宋体" w:cs="宋体"/>
                <w:bCs/>
                <w:color w:val="000000"/>
                <w:kern w:val="0"/>
                <w:szCs w:val="21"/>
                <w:lang w:val="en-US" w:eastAsia="zh-CN"/>
              </w:rPr>
            </w:pPr>
            <w:r>
              <w:rPr>
                <w:rFonts w:hint="eastAsia" w:ascii="宋体" w:hAnsi="宋体" w:cs="宋体"/>
                <w:bCs/>
                <w:color w:val="000000"/>
                <w:kern w:val="0"/>
                <w:szCs w:val="21"/>
                <w:lang w:val="en-US" w:eastAsia="zh-CN"/>
              </w:rPr>
              <w:t>6、投标人的纳税人类别和增值税率，增值税发票票种；</w:t>
            </w:r>
          </w:p>
          <w:p>
            <w:pPr>
              <w:adjustRightInd w:val="0"/>
              <w:snapToGrid w:val="0"/>
              <w:spacing w:line="360" w:lineRule="exact"/>
              <w:ind w:firstLine="420" w:firstLineChars="200"/>
              <w:rPr>
                <w:rFonts w:hint="eastAsia"/>
                <w:lang w:val="en-US" w:eastAsia="zh-CN"/>
              </w:rPr>
            </w:pPr>
            <w:r>
              <w:rPr>
                <w:rFonts w:hint="eastAsia" w:ascii="宋体" w:hAnsi="宋体" w:cs="宋体"/>
                <w:bCs/>
                <w:color w:val="000000"/>
                <w:kern w:val="0"/>
                <w:szCs w:val="21"/>
                <w:lang w:val="en-US" w:eastAsia="zh-CN"/>
              </w:rPr>
              <w:t>7、培训、技术支持、售后服务、更新升级等费用。</w:t>
            </w:r>
          </w:p>
          <w:p>
            <w:pPr>
              <w:keepNext w:val="0"/>
              <w:keepLines w:val="0"/>
              <w:widowControl w:val="0"/>
              <w:suppressLineNumbers w:val="0"/>
              <w:shd w:val="clear" w:color="auto" w:fill="auto"/>
              <w:spacing w:before="0" w:beforeAutospacing="0" w:after="0" w:afterAutospacing="0" w:line="400" w:lineRule="exact"/>
              <w:ind w:right="0"/>
              <w:jc w:val="both"/>
              <w:rPr>
                <w:rFonts w:hint="eastAsia"/>
                <w:lang w:val="en-US" w:eastAsia="zh-CN"/>
              </w:rPr>
            </w:pPr>
            <w:r>
              <w:rPr>
                <w:rFonts w:hint="eastAsia"/>
                <w:lang w:val="en-US" w:eastAsia="zh-CN"/>
              </w:rPr>
              <w:t>▲三、交货时间：发射机、控制器等交货时间为：自合同签订生效之日起30个日历日内完成安装调试。</w:t>
            </w:r>
          </w:p>
          <w:p>
            <w:pPr>
              <w:keepNext w:val="0"/>
              <w:keepLines w:val="0"/>
              <w:widowControl w:val="0"/>
              <w:suppressLineNumbers w:val="0"/>
              <w:shd w:val="clear" w:color="auto" w:fill="auto"/>
              <w:spacing w:before="0" w:beforeAutospacing="0" w:after="0" w:afterAutospacing="0" w:line="400" w:lineRule="exact"/>
              <w:ind w:right="0"/>
              <w:jc w:val="both"/>
              <w:rPr>
                <w:rFonts w:hint="eastAsia"/>
                <w:lang w:val="en-US" w:eastAsia="zh-CN"/>
              </w:rPr>
            </w:pPr>
            <w:r>
              <w:rPr>
                <w:rFonts w:hint="eastAsia"/>
                <w:lang w:val="en-US" w:eastAsia="zh-CN"/>
              </w:rPr>
              <w:t>▲四、交货地点：南宁市、县所在地（见附件1）。</w:t>
            </w:r>
          </w:p>
          <w:p>
            <w:pPr>
              <w:keepNext w:val="0"/>
              <w:keepLines w:val="0"/>
              <w:widowControl w:val="0"/>
              <w:suppressLineNumbers w:val="0"/>
              <w:shd w:val="clear" w:color="auto" w:fill="auto"/>
              <w:spacing w:before="0" w:beforeAutospacing="0" w:after="0" w:afterAutospacing="0" w:line="400" w:lineRule="exact"/>
              <w:ind w:right="0"/>
              <w:jc w:val="both"/>
              <w:rPr>
                <w:rFonts w:hint="eastAsia"/>
                <w:lang w:val="en-US" w:eastAsia="zh-CN"/>
              </w:rPr>
            </w:pPr>
            <w:r>
              <w:rPr>
                <w:rFonts w:hint="eastAsia"/>
                <w:lang w:val="en-US" w:eastAsia="zh-CN"/>
              </w:rPr>
              <w:t>▲五、售后技术服务要求：</w:t>
            </w:r>
          </w:p>
          <w:p>
            <w:pPr>
              <w:keepNext w:val="0"/>
              <w:keepLines w:val="0"/>
              <w:widowControl w:val="0"/>
              <w:suppressLineNumbers w:val="0"/>
              <w:shd w:val="clear" w:color="auto" w:fill="auto"/>
              <w:spacing w:before="0" w:beforeAutospacing="0" w:after="0" w:afterAutospacing="0" w:line="400" w:lineRule="exact"/>
              <w:ind w:right="0" w:firstLine="420" w:firstLineChars="200"/>
              <w:jc w:val="both"/>
              <w:rPr>
                <w:rFonts w:hint="eastAsia"/>
                <w:lang w:val="en-US" w:eastAsia="zh-CN"/>
              </w:rPr>
            </w:pPr>
            <w:r>
              <w:rPr>
                <w:rFonts w:hint="eastAsia"/>
                <w:lang w:val="en-US" w:eastAsia="zh-CN"/>
              </w:rPr>
              <w:t>1、按厂家承诺实行“三包”；在质量保证期内，出现质量问题，负责保修（运输、保险、材料、维修等费用全免）。一旦发生故障，要求2小时内响应，24小时内解决故障，否则提供同档次替代品。三管塔部分质保期内，设备发生采购人无能力处理和修复的故障时，中标人应在接到故障通知后48小时内派技术人员到达现场处理。</w:t>
            </w:r>
          </w:p>
          <w:p>
            <w:pPr>
              <w:keepNext w:val="0"/>
              <w:keepLines w:val="0"/>
              <w:widowControl w:val="0"/>
              <w:suppressLineNumbers w:val="0"/>
              <w:shd w:val="clear" w:color="auto" w:fill="auto"/>
              <w:spacing w:before="0" w:beforeAutospacing="0" w:after="0" w:afterAutospacing="0" w:line="400" w:lineRule="exact"/>
              <w:ind w:right="0" w:firstLine="420" w:firstLineChars="200"/>
              <w:jc w:val="both"/>
              <w:rPr>
                <w:rFonts w:hint="eastAsia"/>
                <w:lang w:val="en-US" w:eastAsia="zh-CN"/>
              </w:rPr>
            </w:pPr>
            <w:r>
              <w:rPr>
                <w:rFonts w:hint="eastAsia"/>
                <w:lang w:val="en-US" w:eastAsia="zh-CN"/>
              </w:rPr>
              <w:t>2、安装要求：货物运送至指定地点后，完成相关产品的安装工作（所需材料由中标人负责、采购人负责指定安装位置）。</w:t>
            </w:r>
          </w:p>
          <w:p>
            <w:pPr>
              <w:keepNext w:val="0"/>
              <w:keepLines w:val="0"/>
              <w:widowControl w:val="0"/>
              <w:suppressLineNumbers w:val="0"/>
              <w:shd w:val="clear" w:color="auto" w:fill="auto"/>
              <w:spacing w:before="0" w:beforeAutospacing="0" w:after="0" w:afterAutospacing="0" w:line="400" w:lineRule="exact"/>
              <w:ind w:right="0" w:firstLine="420" w:firstLineChars="200"/>
              <w:jc w:val="both"/>
              <w:rPr>
                <w:rFonts w:hint="eastAsia"/>
                <w:lang w:val="en-US" w:eastAsia="zh-CN"/>
              </w:rPr>
            </w:pPr>
            <w:r>
              <w:rPr>
                <w:rFonts w:hint="eastAsia"/>
                <w:lang w:val="en-US" w:eastAsia="zh-CN"/>
              </w:rPr>
              <w:t>3、安装调试及保修期间中标人往返人员的差旅费、食宿费等相关费用均由中标人自行负责。</w:t>
            </w:r>
          </w:p>
          <w:p>
            <w:pPr>
              <w:keepNext w:val="0"/>
              <w:keepLines w:val="0"/>
              <w:widowControl w:val="0"/>
              <w:suppressLineNumbers w:val="0"/>
              <w:shd w:val="clear" w:color="auto" w:fill="auto"/>
              <w:spacing w:before="0" w:beforeAutospacing="0" w:after="0" w:afterAutospacing="0" w:line="400" w:lineRule="exact"/>
              <w:ind w:right="0" w:firstLine="420" w:firstLineChars="200"/>
              <w:jc w:val="both"/>
              <w:rPr>
                <w:rFonts w:hint="eastAsia"/>
                <w:lang w:val="en-US" w:eastAsia="zh-CN"/>
              </w:rPr>
            </w:pPr>
            <w:r>
              <w:rPr>
                <w:rFonts w:hint="eastAsia"/>
                <w:lang w:val="en-US" w:eastAsia="zh-CN"/>
              </w:rPr>
              <w:t>4、中标人在交货时间内对采购人进行中标产品的技术培训，培训内容包括产品安装调试及使用，时间不少于16学时（每课时不少于45分钟），采购人指定地点。</w:t>
            </w:r>
          </w:p>
          <w:p>
            <w:pPr>
              <w:keepNext w:val="0"/>
              <w:keepLines w:val="0"/>
              <w:widowControl w:val="0"/>
              <w:suppressLineNumbers w:val="0"/>
              <w:shd w:val="clear" w:color="auto" w:fill="auto"/>
              <w:spacing w:before="0" w:beforeAutospacing="0" w:after="0" w:afterAutospacing="0" w:line="400" w:lineRule="exact"/>
              <w:ind w:right="0" w:firstLine="420" w:firstLineChars="200"/>
              <w:jc w:val="both"/>
              <w:rPr>
                <w:rFonts w:hint="eastAsia"/>
                <w:lang w:val="en-US" w:eastAsia="zh-CN"/>
              </w:rPr>
            </w:pPr>
            <w:r>
              <w:rPr>
                <w:rFonts w:hint="eastAsia"/>
                <w:lang w:val="en-US" w:eastAsia="zh-CN"/>
              </w:rPr>
              <w:t>4、超过质量保证期后的机器设备，终生维修，维修时只收取成本费。</w:t>
            </w:r>
          </w:p>
          <w:p>
            <w:pPr>
              <w:pStyle w:val="6"/>
              <w:rPr>
                <w:rFonts w:hint="eastAsia"/>
                <w:sz w:val="21"/>
                <w:szCs w:val="21"/>
                <w:lang w:val="en-US" w:eastAsia="zh-CN"/>
              </w:rPr>
            </w:pPr>
            <w:r>
              <w:rPr>
                <w:rFonts w:hint="eastAsia"/>
              </w:rPr>
              <w:t>▲</w:t>
            </w:r>
            <w:r>
              <w:rPr>
                <w:rFonts w:hint="eastAsia"/>
                <w:sz w:val="21"/>
                <w:szCs w:val="21"/>
                <w:lang w:val="en-US" w:eastAsia="zh-CN"/>
              </w:rPr>
              <w:t>六、验收标准：</w:t>
            </w:r>
          </w:p>
          <w:p>
            <w:pPr>
              <w:pStyle w:val="6"/>
              <w:rPr>
                <w:rFonts w:hint="eastAsia"/>
                <w:sz w:val="21"/>
                <w:szCs w:val="21"/>
                <w:lang w:val="en-US" w:eastAsia="zh-CN"/>
              </w:rPr>
            </w:pPr>
            <w:r>
              <w:rPr>
                <w:rFonts w:hint="eastAsia"/>
                <w:sz w:val="21"/>
                <w:szCs w:val="21"/>
                <w:lang w:val="en-US" w:eastAsia="zh-CN"/>
              </w:rPr>
              <w:t>1、采购人对中标人提交的货物依据招标文件上的技术规格要求和国家有关质量标准进行现场签收，外观、说明书、及各项功能符合招标文件技术要求的，给予签收，不合格的不予签收。</w:t>
            </w:r>
          </w:p>
          <w:p>
            <w:pPr>
              <w:pStyle w:val="6"/>
              <w:rPr>
                <w:rFonts w:hint="eastAsia"/>
                <w:sz w:val="21"/>
                <w:szCs w:val="21"/>
                <w:lang w:val="en-US" w:eastAsia="zh-CN"/>
              </w:rPr>
            </w:pPr>
            <w:r>
              <w:rPr>
                <w:rFonts w:hint="eastAsia"/>
                <w:sz w:val="21"/>
                <w:szCs w:val="21"/>
                <w:lang w:val="en-US" w:eastAsia="zh-CN"/>
              </w:rPr>
              <w:t>2、中标人交货前应对产品作出全面检查和对验收文件进行整理，并列出清单，作为采购人收货验收和使用的技术条件依据，检验的结果应随货物交采购人。中标人不能完整交付货物及本款规定的单证和工具的，必须负责补齐，否则视为未按合同约定交货。</w:t>
            </w:r>
          </w:p>
          <w:p>
            <w:pPr>
              <w:pStyle w:val="6"/>
              <w:rPr>
                <w:rFonts w:hint="eastAsia"/>
                <w:sz w:val="21"/>
                <w:szCs w:val="21"/>
                <w:lang w:val="en-US" w:eastAsia="zh-CN"/>
              </w:rPr>
            </w:pPr>
            <w:r>
              <w:rPr>
                <w:rFonts w:hint="eastAsia"/>
                <w:sz w:val="21"/>
                <w:szCs w:val="21"/>
                <w:lang w:val="en-US" w:eastAsia="zh-CN"/>
              </w:rPr>
              <w:t>3、中标人需负责安装、调试（测试），并培训采购人的使用操作人员，直到设备符合技术要求，采购人方可验收。</w:t>
            </w:r>
          </w:p>
          <w:p>
            <w:pPr>
              <w:pStyle w:val="6"/>
              <w:rPr>
                <w:rFonts w:hint="eastAsia"/>
                <w:sz w:val="21"/>
                <w:szCs w:val="21"/>
                <w:lang w:val="en-US" w:eastAsia="zh-CN"/>
              </w:rPr>
            </w:pPr>
            <w:r>
              <w:rPr>
                <w:rFonts w:hint="eastAsia"/>
                <w:sz w:val="21"/>
                <w:szCs w:val="21"/>
                <w:lang w:val="en-US" w:eastAsia="zh-CN"/>
              </w:rPr>
              <w:t>4、采购人组织验收，中标人需到场配合，验收合格后双方签署验收合格凭证。</w:t>
            </w:r>
          </w:p>
          <w:p>
            <w:pPr>
              <w:pStyle w:val="6"/>
              <w:rPr>
                <w:rFonts w:hint="eastAsia"/>
                <w:sz w:val="21"/>
                <w:szCs w:val="21"/>
                <w:lang w:val="en-US" w:eastAsia="zh-CN"/>
              </w:rPr>
            </w:pPr>
            <w:r>
              <w:rPr>
                <w:rFonts w:hint="eastAsia"/>
                <w:sz w:val="21"/>
                <w:szCs w:val="21"/>
                <w:lang w:val="en-US" w:eastAsia="zh-CN"/>
              </w:rPr>
              <w:t>5、其他未尽事宜应严格按照《关于印发广西壮族自治区政府采购项目履约验收管理办法的通知》[桂财采〔2015〕22号]以及《财政部关于进一步加强政府采购需求和履约验收管理的指导意见》[财库〔2016〕205号]规定执行。</w:t>
            </w:r>
          </w:p>
          <w:p>
            <w:pPr>
              <w:pStyle w:val="6"/>
              <w:rPr>
                <w:rFonts w:hint="eastAsia"/>
                <w:sz w:val="21"/>
                <w:szCs w:val="21"/>
                <w:lang w:val="en-US" w:eastAsia="zh-CN"/>
              </w:rPr>
            </w:pPr>
            <w:r>
              <w:rPr>
                <w:rFonts w:hint="eastAsia"/>
                <w:sz w:val="21"/>
                <w:szCs w:val="21"/>
                <w:lang w:val="en-US" w:eastAsia="zh-CN"/>
              </w:rPr>
              <w:t>6、验收产生的费用中标人负责（包含第三方测试费）。</w:t>
            </w:r>
          </w:p>
          <w:p>
            <w:pPr>
              <w:adjustRightInd w:val="0"/>
              <w:snapToGrid w:val="0"/>
              <w:spacing w:line="360" w:lineRule="exact"/>
              <w:rPr>
                <w:rFonts w:hint="eastAsia" w:ascii="宋体" w:hAnsi="宋体" w:cs="宋体"/>
                <w:bCs/>
                <w:color w:val="000000"/>
                <w:kern w:val="0"/>
                <w:szCs w:val="21"/>
                <w:lang w:val="en-US" w:eastAsia="zh-CN"/>
              </w:rPr>
            </w:pPr>
            <w:r>
              <w:rPr>
                <w:rFonts w:hint="eastAsia" w:ascii="宋体" w:hAnsi="宋体" w:cs="宋体"/>
                <w:bCs/>
                <w:color w:val="000000"/>
                <w:kern w:val="0"/>
                <w:szCs w:val="21"/>
                <w:lang w:val="en-US" w:eastAsia="zh-CN"/>
              </w:rPr>
              <w:t>7、中标供应商未按招标文件中的内容提供服务或服务未达招标要求的，相应责任由中标供应商负责。采购人有权取消其中标资格并解除合同。期间所有产生的相关费用由中标供应商承担。如期间造成采购人损失的，将追究中标供应商法律责任并赔偿相关损失。</w:t>
            </w:r>
          </w:p>
          <w:p>
            <w:pPr>
              <w:rPr>
                <w:rFonts w:hint="eastAsia"/>
                <w:lang w:val="en-US" w:eastAsia="zh-CN"/>
              </w:rPr>
            </w:pPr>
          </w:p>
          <w:p>
            <w:pPr>
              <w:pStyle w:val="6"/>
            </w:pPr>
          </w:p>
        </w:tc>
      </w:tr>
    </w:tbl>
    <w:p>
      <w:pPr>
        <w:pStyle w:val="6"/>
        <w:jc w:val="center"/>
        <w:rPr>
          <w:rFonts w:hint="eastAsia"/>
          <w:b/>
          <w:sz w:val="36"/>
        </w:rPr>
      </w:pPr>
    </w:p>
    <w:p>
      <w:pPr>
        <w:pStyle w:val="6"/>
        <w:jc w:val="center"/>
        <w:rPr>
          <w:rFonts w:hint="eastAsia"/>
          <w:b/>
          <w:sz w:val="36"/>
        </w:rPr>
      </w:pPr>
    </w:p>
    <w:p>
      <w:pPr>
        <w:rPr>
          <w:rFonts w:hint="eastAsia"/>
          <w:b/>
          <w:sz w:val="36"/>
        </w:rPr>
      </w:pPr>
      <w:r>
        <w:rPr>
          <w:rFonts w:hint="eastAsia"/>
          <w:b/>
          <w:sz w:val="36"/>
        </w:rPr>
        <w:br w:type="page"/>
      </w:r>
    </w:p>
    <w:p>
      <w:pPr>
        <w:pStyle w:val="6"/>
        <w:jc w:val="center"/>
        <w:rPr>
          <w:b/>
          <w:sz w:val="36"/>
        </w:rPr>
      </w:pPr>
      <w:r>
        <w:rPr>
          <w:rFonts w:hint="eastAsia"/>
          <w:b/>
          <w:sz w:val="36"/>
        </w:rPr>
        <w:t>第二章</w:t>
      </w:r>
      <w:r>
        <w:rPr>
          <w:b/>
          <w:sz w:val="36"/>
        </w:rPr>
        <w:t xml:space="preserve"> </w:t>
      </w:r>
      <w:r>
        <w:rPr>
          <w:rFonts w:hint="eastAsia"/>
          <w:b/>
          <w:sz w:val="36"/>
        </w:rPr>
        <w:t>评审方法</w:t>
      </w:r>
    </w:p>
    <w:p>
      <w:pPr>
        <w:pStyle w:val="6"/>
        <w:rPr>
          <w:sz w:val="28"/>
        </w:rPr>
      </w:pPr>
      <w:r>
        <w:rPr>
          <w:rFonts w:hint="eastAsia"/>
          <w:b/>
          <w:bCs/>
        </w:rPr>
        <w:t xml:space="preserve">                                    </w:t>
      </w:r>
    </w:p>
    <w:p>
      <w:pPr>
        <w:pStyle w:val="10"/>
        <w:jc w:val="center"/>
        <w:rPr>
          <w:rFonts w:ascii="Times New Roman" w:hAnsi="Times New Roman"/>
          <w:b/>
          <w:sz w:val="30"/>
          <w:szCs w:val="30"/>
        </w:rPr>
      </w:pPr>
      <w:r>
        <w:rPr>
          <w:rFonts w:hint="eastAsia" w:ascii="Times New Roman" w:hAnsi="Times New Roman"/>
          <w:b/>
          <w:sz w:val="30"/>
          <w:szCs w:val="30"/>
        </w:rPr>
        <w:t>最低评标价法</w:t>
      </w:r>
    </w:p>
    <w:p>
      <w:pPr>
        <w:pStyle w:val="10"/>
        <w:tabs>
          <w:tab w:val="left" w:pos="1935"/>
        </w:tabs>
        <w:spacing w:line="400" w:lineRule="exact"/>
        <w:ind w:firstLine="420" w:firstLineChars="200"/>
        <w:rPr>
          <w:color w:val="auto"/>
        </w:rPr>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小组各成员对评标价相同的供应商当场投票表决，得票多者优先；按前述程序仍无法确定供应商排名顺序的，由评审委员会抽签决定），并依照次序确定1</w:t>
      </w:r>
      <w:r>
        <w:rPr>
          <w:rFonts w:hint="eastAsia"/>
        </w:rPr>
        <w:t>家</w:t>
      </w:r>
      <w:r>
        <w:t>成交供应商。</w:t>
      </w:r>
    </w:p>
    <w:p>
      <w:pPr>
        <w:pStyle w:val="10"/>
        <w:tabs>
          <w:tab w:val="left" w:pos="1935"/>
        </w:tabs>
        <w:spacing w:line="400" w:lineRule="exact"/>
        <w:ind w:firstLine="420" w:firstLineChars="200"/>
        <w:rPr>
          <w:color w:val="auto"/>
          <w:highlight w:val="none"/>
        </w:rPr>
      </w:pPr>
      <w:r>
        <w:rPr>
          <w:rFonts w:hint="eastAsia"/>
          <w:color w:val="auto"/>
          <w:highlight w:val="none"/>
          <w:lang w:val="en-US" w:eastAsia="zh-CN"/>
        </w:rPr>
        <w:t xml:space="preserve"> </w:t>
      </w:r>
      <w:r>
        <w:rPr>
          <w:b/>
          <w:bCs/>
          <w:color w:val="auto"/>
          <w:highlight w:val="none"/>
        </w:rPr>
        <w:t>评标价</w:t>
      </w:r>
      <w:r>
        <w:rPr>
          <w:rFonts w:hint="eastAsia"/>
          <w:b/>
          <w:bCs/>
          <w:color w:val="auto"/>
          <w:highlight w:val="none"/>
        </w:rPr>
        <w:t>政府采购政策性扣除</w:t>
      </w:r>
      <w:r>
        <w:rPr>
          <w:rFonts w:hint="eastAsia"/>
          <w:color w:val="auto"/>
          <w:highlight w:val="none"/>
        </w:rPr>
        <w:t>（如属于专门面向中小型企业采购项目，不再进行政策扣除）。</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eastAsia="zh-CN"/>
        </w:rPr>
        <w:t>.评标价</w:t>
      </w:r>
      <w:r>
        <w:rPr>
          <w:rFonts w:hint="eastAsia" w:ascii="宋体" w:hAnsi="宋体" w:cs="宋体"/>
          <w:color w:val="000000"/>
          <w:szCs w:val="21"/>
        </w:rPr>
        <w:t>为供应商的</w:t>
      </w:r>
      <w:r>
        <w:rPr>
          <w:rFonts w:hint="eastAsia" w:ascii="宋体" w:hAnsi="宋体" w:cs="宋体"/>
          <w:color w:val="000000"/>
          <w:szCs w:val="21"/>
          <w:lang w:val="en-US" w:eastAsia="zh-CN"/>
        </w:rPr>
        <w:t>投标</w:t>
      </w:r>
      <w:r>
        <w:rPr>
          <w:rFonts w:hint="eastAsia" w:ascii="宋体" w:hAnsi="宋体" w:cs="宋体"/>
          <w:color w:val="000000"/>
          <w:szCs w:val="21"/>
        </w:rPr>
        <w:t>报价进行政策性扣除后的价格，</w:t>
      </w:r>
      <w:r>
        <w:rPr>
          <w:rFonts w:hint="eastAsia" w:ascii="宋体" w:hAnsi="宋体" w:cs="宋体"/>
          <w:color w:val="000000"/>
          <w:szCs w:val="21"/>
          <w:lang w:eastAsia="zh-CN"/>
        </w:rPr>
        <w:t>评标价</w:t>
      </w:r>
      <w:r>
        <w:rPr>
          <w:rFonts w:hint="eastAsia" w:ascii="宋体" w:hAnsi="宋体" w:cs="宋体"/>
          <w:color w:val="000000"/>
          <w:szCs w:val="21"/>
        </w:rPr>
        <w:t>只是作为评审时使用。最终成交供应商的成交金额等于</w:t>
      </w:r>
      <w:r>
        <w:rPr>
          <w:rFonts w:hint="eastAsia" w:ascii="宋体" w:hAnsi="宋体" w:cs="宋体"/>
          <w:color w:val="000000"/>
          <w:szCs w:val="21"/>
          <w:lang w:val="en-US" w:eastAsia="zh-CN"/>
        </w:rPr>
        <w:t>投标</w:t>
      </w:r>
      <w:r>
        <w:rPr>
          <w:rFonts w:hint="eastAsia" w:ascii="宋体" w:hAnsi="宋体" w:cs="宋体"/>
          <w:color w:val="000000"/>
          <w:szCs w:val="21"/>
        </w:rPr>
        <w:t>报价（如有修正，以确认修正后的</w:t>
      </w:r>
      <w:r>
        <w:rPr>
          <w:rFonts w:hint="eastAsia" w:ascii="宋体" w:hAnsi="宋体" w:cs="宋体"/>
          <w:color w:val="000000"/>
          <w:szCs w:val="21"/>
          <w:lang w:val="en-US" w:eastAsia="zh-CN"/>
        </w:rPr>
        <w:t>投标</w:t>
      </w:r>
      <w:r>
        <w:rPr>
          <w:rFonts w:hint="eastAsia" w:ascii="宋体" w:hAnsi="宋体" w:cs="宋体"/>
          <w:color w:val="000000"/>
          <w:szCs w:val="21"/>
        </w:rPr>
        <w:t>报价为准）。</w:t>
      </w:r>
    </w:p>
    <w:p>
      <w:pPr>
        <w:spacing w:line="360" w:lineRule="auto"/>
        <w:ind w:firstLine="420" w:firstLineChars="200"/>
        <w:rPr>
          <w:rFonts w:hint="eastAsia" w:ascii="宋体" w:hAnsi="宋体" w:cs="宋体"/>
          <w:color w:val="000000"/>
        </w:rPr>
      </w:pPr>
      <w:r>
        <w:rPr>
          <w:rFonts w:hint="eastAsia" w:ascii="宋体" w:hAnsi="宋体" w:cs="宋体"/>
          <w:color w:val="000000"/>
          <w:szCs w:val="21"/>
        </w:rPr>
        <w:t>2</w:t>
      </w:r>
      <w:r>
        <w:rPr>
          <w:rFonts w:hint="eastAsia" w:ascii="宋体" w:hAnsi="宋体" w:cs="宋体"/>
          <w:color w:val="000000"/>
          <w:szCs w:val="21"/>
          <w:lang w:eastAsia="zh-CN"/>
        </w:rPr>
        <w:t>.</w:t>
      </w:r>
      <w:r>
        <w:rPr>
          <w:rFonts w:hint="eastAsia" w:ascii="宋体" w:hAnsi="宋体" w:cs="宋体"/>
          <w:color w:val="000000"/>
        </w:rPr>
        <w:t>政策性扣除计算方法。</w:t>
      </w:r>
    </w:p>
    <w:p>
      <w:pPr>
        <w:spacing w:line="360" w:lineRule="auto"/>
        <w:ind w:firstLine="420" w:firstLineChars="200"/>
        <w:rPr>
          <w:rFonts w:hint="eastAsia" w:ascii="宋体" w:hAnsi="宋体" w:cs="宋体"/>
          <w:color w:val="000000"/>
        </w:rPr>
      </w:pPr>
      <w:r>
        <w:rPr>
          <w:rFonts w:hint="eastAsia" w:ascii="宋体" w:hAnsi="宋体" w:cs="宋体"/>
          <w:color w:val="000000"/>
          <w:szCs w:val="21"/>
        </w:rPr>
        <w:t>根据《政府采购促进中小企业发展管理办法》（财库〔2020〕46号）的规定，供应商在其响应文件中提供《中小企业声明函》，</w:t>
      </w:r>
      <w:r>
        <w:rPr>
          <w:rFonts w:hint="eastAsia" w:ascii="宋体" w:hAnsi="宋体" w:cs="宋体"/>
          <w:bCs/>
          <w:color w:val="000000"/>
          <w:szCs w:val="21"/>
        </w:rPr>
        <w:t>且其竞标全部货物均由小微企业提供的</w:t>
      </w:r>
      <w:r>
        <w:rPr>
          <w:rFonts w:hint="eastAsia" w:ascii="宋体" w:hAnsi="宋体" w:cs="宋体"/>
          <w:color w:val="000000"/>
          <w:szCs w:val="21"/>
        </w:rPr>
        <w:t>，</w:t>
      </w:r>
      <w:r>
        <w:rPr>
          <w:rFonts w:hint="eastAsia" w:ascii="宋体" w:hAnsi="宋体" w:cs="宋体"/>
          <w:bCs/>
          <w:color w:val="000000"/>
          <w:szCs w:val="21"/>
        </w:rPr>
        <w:t>对供应商的竞标报价给予20%的扣除，扣除后的价格为</w:t>
      </w:r>
      <w:r>
        <w:rPr>
          <w:rFonts w:hint="eastAsia" w:ascii="宋体" w:hAnsi="宋体" w:cs="宋体"/>
          <w:bCs/>
          <w:color w:val="000000"/>
          <w:szCs w:val="21"/>
          <w:lang w:eastAsia="zh-CN"/>
        </w:rPr>
        <w:t>评标价</w:t>
      </w:r>
      <w:r>
        <w:rPr>
          <w:rFonts w:hint="eastAsia" w:ascii="宋体" w:hAnsi="宋体" w:cs="宋体"/>
          <w:bCs/>
          <w:color w:val="000000"/>
          <w:szCs w:val="21"/>
        </w:rPr>
        <w:t>，即</w:t>
      </w:r>
      <w:r>
        <w:rPr>
          <w:rFonts w:hint="eastAsia" w:ascii="宋体" w:hAnsi="宋体" w:cs="宋体"/>
          <w:bCs/>
          <w:color w:val="000000"/>
          <w:szCs w:val="21"/>
          <w:lang w:eastAsia="zh-CN"/>
        </w:rPr>
        <w:t>评标价</w:t>
      </w:r>
      <w:r>
        <w:rPr>
          <w:rFonts w:hint="eastAsia" w:ascii="宋体" w:hAnsi="宋体" w:cs="宋体"/>
          <w:bCs/>
          <w:color w:val="000000"/>
          <w:szCs w:val="21"/>
        </w:rPr>
        <w:t>=竞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cs="宋体"/>
          <w:bCs/>
          <w:color w:val="000000"/>
          <w:szCs w:val="21"/>
          <w:u w:val="single"/>
        </w:rPr>
        <w:t xml:space="preserve">4% </w:t>
      </w:r>
      <w:r>
        <w:rPr>
          <w:rFonts w:hint="eastAsia" w:ascii="宋体" w:hAnsi="宋体" w:cs="宋体"/>
          <w:bCs/>
          <w:color w:val="000000"/>
          <w:szCs w:val="21"/>
        </w:rPr>
        <w:t>（范围为4%-6%） 的扣除，用扣除后的价格参加评审，扣除后的价格为</w:t>
      </w:r>
      <w:r>
        <w:rPr>
          <w:rFonts w:hint="eastAsia" w:ascii="宋体" w:hAnsi="宋体" w:cs="宋体"/>
          <w:bCs/>
          <w:color w:val="000000"/>
          <w:szCs w:val="21"/>
          <w:lang w:eastAsia="zh-CN"/>
        </w:rPr>
        <w:t>评标价</w:t>
      </w:r>
      <w:r>
        <w:rPr>
          <w:rFonts w:hint="eastAsia" w:ascii="宋体" w:hAnsi="宋体" w:cs="宋体"/>
          <w:bCs/>
          <w:color w:val="000000"/>
          <w:szCs w:val="21"/>
        </w:rPr>
        <w:t>，即</w:t>
      </w:r>
      <w:r>
        <w:rPr>
          <w:rFonts w:hint="eastAsia" w:ascii="宋体" w:hAnsi="宋体" w:cs="宋体"/>
          <w:bCs/>
          <w:color w:val="000000"/>
          <w:szCs w:val="21"/>
          <w:lang w:eastAsia="zh-CN"/>
        </w:rPr>
        <w:t>评标价</w:t>
      </w:r>
      <w:r>
        <w:rPr>
          <w:rFonts w:hint="eastAsia" w:ascii="宋体" w:hAnsi="宋体" w:cs="宋体"/>
          <w:bCs/>
          <w:color w:val="000000"/>
          <w:szCs w:val="21"/>
        </w:rPr>
        <w:t>=竞标报价×（1-</w:t>
      </w:r>
      <w:r>
        <w:rPr>
          <w:rFonts w:hint="eastAsia" w:ascii="宋体" w:hAnsi="宋体" w:cs="宋体"/>
          <w:bCs/>
          <w:color w:val="000000"/>
          <w:szCs w:val="21"/>
          <w:u w:val="single"/>
        </w:rPr>
        <w:t xml:space="preserve">4% </w:t>
      </w:r>
      <w:r>
        <w:rPr>
          <w:rFonts w:hint="eastAsia" w:ascii="宋体" w:hAnsi="宋体" w:cs="宋体"/>
          <w:bCs/>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eastAsia="zh-CN"/>
        </w:rPr>
        <w:t>.</w:t>
      </w:r>
      <w:r>
        <w:rPr>
          <w:rFonts w:hint="eastAsia" w:ascii="宋体" w:hAnsi="宋体" w:cs="宋体"/>
          <w:color w:val="000000"/>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360" w:lineRule="auto"/>
        <w:ind w:firstLine="420" w:firstLineChars="200"/>
        <w:rPr>
          <w:rFonts w:hint="eastAsia" w:ascii="宋体" w:hAnsi="宋体" w:cs="宋体"/>
          <w:color w:val="000000"/>
        </w:rPr>
      </w:pPr>
      <w:r>
        <w:rPr>
          <w:rFonts w:hint="eastAsia" w:ascii="宋体" w:hAnsi="宋体" w:cs="宋体"/>
          <w:color w:val="000000"/>
          <w:szCs w:val="21"/>
        </w:rPr>
        <w:t>4</w:t>
      </w:r>
      <w:r>
        <w:rPr>
          <w:rFonts w:hint="eastAsia" w:ascii="宋体" w:hAnsi="宋体" w:cs="宋体"/>
          <w:color w:val="000000"/>
          <w:szCs w:val="21"/>
          <w:lang w:eastAsia="zh-CN"/>
        </w:rPr>
        <w:t>.</w:t>
      </w:r>
      <w:r>
        <w:rPr>
          <w:rFonts w:hint="eastAsia" w:ascii="宋体" w:hAnsi="宋体" w:cs="宋体"/>
          <w:color w:val="000000"/>
          <w:szCs w:val="21"/>
        </w:rPr>
        <w:t>按照《关于促进残疾人就业政府采购政策的通知》（财库〔2017〕141号）的规定，残疾人福利性单位视同小型、微型企业，享受预留份额、评审中价格扣除等</w:t>
      </w:r>
      <w:r>
        <w:rPr>
          <w:rFonts w:hint="eastAsia" w:ascii="宋体" w:hAnsi="宋体" w:cs="宋体"/>
          <w:color w:val="000000"/>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60" w:lineRule="auto"/>
        <w:ind w:firstLine="420" w:firstLineChars="200"/>
      </w:pPr>
      <w:r>
        <w:rPr>
          <w:rFonts w:hint="eastAsia" w:ascii="宋体" w:hAnsi="宋体" w:cs="宋体"/>
          <w:color w:val="000000"/>
        </w:rPr>
        <w:t>5</w:t>
      </w:r>
      <w:r>
        <w:rPr>
          <w:rFonts w:hint="eastAsia" w:ascii="宋体" w:hAnsi="宋体" w:cs="宋体"/>
          <w:color w:val="000000"/>
          <w:lang w:eastAsia="zh-CN"/>
        </w:rPr>
        <w:t>.</w:t>
      </w:r>
      <w:r>
        <w:rPr>
          <w:rFonts w:hint="eastAsia" w:ascii="宋体" w:hAnsi="宋体" w:cs="宋体"/>
          <w:color w:val="000000"/>
        </w:rPr>
        <w:t>除上述情况外，</w:t>
      </w:r>
      <w:r>
        <w:rPr>
          <w:rFonts w:hint="eastAsia" w:ascii="宋体" w:hAnsi="宋体" w:cs="宋体"/>
          <w:color w:val="000000"/>
          <w:lang w:eastAsia="zh-CN"/>
        </w:rPr>
        <w:t>评标价</w:t>
      </w:r>
      <w:r>
        <w:rPr>
          <w:rFonts w:hint="eastAsia" w:ascii="宋体" w:hAnsi="宋体" w:cs="宋体"/>
          <w:color w:val="000000"/>
        </w:rPr>
        <w:t>＝最后报价。</w:t>
      </w:r>
    </w:p>
    <w:p>
      <w:pPr>
        <w:pStyle w:val="10"/>
        <w:spacing w:line="440" w:lineRule="exact"/>
        <w:jc w:val="center"/>
        <w:rPr>
          <w:rFonts w:ascii="Times New Roman" w:hAnsi="Times New Roman"/>
          <w:b/>
          <w:sz w:val="36"/>
        </w:rPr>
      </w:pPr>
    </w:p>
    <w:p>
      <w:pPr>
        <w:pStyle w:val="10"/>
        <w:spacing w:line="440" w:lineRule="exact"/>
        <w:jc w:val="center"/>
        <w:rPr>
          <w:rFonts w:hint="eastAsia" w:ascii="Times New Roman" w:hAnsi="Times New Roman"/>
          <w:b/>
          <w:sz w:val="36"/>
        </w:rPr>
      </w:pPr>
      <w:bookmarkStart w:id="2" w:name="_Toc532545044"/>
    </w:p>
    <w:p>
      <w:pPr>
        <w:pStyle w:val="10"/>
        <w:spacing w:line="440" w:lineRule="exact"/>
        <w:jc w:val="center"/>
        <w:rPr>
          <w:rFonts w:hint="eastAsia" w:ascii="Times New Roman" w:hAnsi="Times New Roman"/>
          <w:b/>
          <w:sz w:val="36"/>
        </w:rPr>
      </w:pPr>
    </w:p>
    <w:p>
      <w:pPr>
        <w:pStyle w:val="10"/>
        <w:spacing w:line="440" w:lineRule="exact"/>
        <w:jc w:val="center"/>
        <w:rPr>
          <w:rFonts w:hint="eastAsia" w:ascii="Times New Roman" w:hAnsi="Times New Roman"/>
          <w:b/>
          <w:sz w:val="36"/>
        </w:rPr>
      </w:pPr>
    </w:p>
    <w:p>
      <w:pPr>
        <w:pStyle w:val="10"/>
        <w:spacing w:line="440" w:lineRule="exact"/>
        <w:jc w:val="center"/>
        <w:rPr>
          <w:rFonts w:hAnsi="宋体"/>
        </w:rPr>
      </w:pPr>
      <w:r>
        <w:rPr>
          <w:rFonts w:hint="eastAsia" w:ascii="Times New Roman" w:hAnsi="Times New Roman"/>
          <w:b/>
          <w:sz w:val="36"/>
        </w:rPr>
        <w:t>第三章</w:t>
      </w:r>
      <w:r>
        <w:rPr>
          <w:rFonts w:ascii="Times New Roman" w:hAnsi="Times New Roman"/>
          <w:b/>
          <w:sz w:val="36"/>
        </w:rPr>
        <w:t xml:space="preserve">  </w:t>
      </w:r>
      <w:bookmarkEnd w:id="2"/>
      <w:bookmarkStart w:id="3" w:name="_Toc532545052"/>
      <w:r>
        <w:rPr>
          <w:rFonts w:ascii="Times New Roman" w:hAnsi="Times New Roman"/>
          <w:b/>
          <w:sz w:val="36"/>
        </w:rPr>
        <w:t xml:space="preserve"> </w:t>
      </w:r>
      <w:r>
        <w:rPr>
          <w:rFonts w:hint="eastAsia" w:ascii="Times New Roman" w:hAnsi="Times New Roman"/>
          <w:b/>
          <w:sz w:val="36"/>
        </w:rPr>
        <w:t>投标文件格式</w:t>
      </w:r>
      <w:bookmarkEnd w:id="3"/>
    </w:p>
    <w:p>
      <w:pPr>
        <w:snapToGrid w:val="0"/>
        <w:spacing w:line="360" w:lineRule="auto"/>
        <w:jc w:val="left"/>
        <w:rPr>
          <w:rFonts w:ascii="宋体" w:hAnsi="宋体" w:eastAsia="宋体"/>
          <w:b/>
          <w:szCs w:val="21"/>
        </w:rPr>
      </w:pPr>
      <w:bookmarkStart w:id="4" w:name="_Toc254970677"/>
      <w:bookmarkStart w:id="5" w:name="_Toc254970536"/>
      <w:r>
        <w:rPr>
          <w:rFonts w:hint="eastAsia" w:ascii="宋体" w:hAnsi="宋体" w:eastAsia="宋体"/>
          <w:b/>
          <w:szCs w:val="21"/>
        </w:rPr>
        <w:t>一、投标文件的组成</w:t>
      </w:r>
      <w:bookmarkEnd w:id="4"/>
      <w:bookmarkEnd w:id="5"/>
    </w:p>
    <w:p>
      <w:pPr>
        <w:tabs>
          <w:tab w:val="left" w:pos="3870"/>
          <w:tab w:val="left" w:pos="4085"/>
        </w:tabs>
        <w:snapToGrid w:val="0"/>
        <w:spacing w:line="360" w:lineRule="auto"/>
        <w:ind w:firstLine="420" w:firstLineChars="200"/>
        <w:jc w:val="left"/>
        <w:rPr>
          <w:rFonts w:ascii="宋体" w:hAnsi="宋体" w:eastAsia="宋体"/>
          <w:b/>
          <w:szCs w:val="21"/>
        </w:rPr>
      </w:pPr>
      <w:r>
        <w:rPr>
          <w:rFonts w:hint="eastAsia" w:ascii="宋体" w:hAnsi="宋体" w:eastAsia="宋体"/>
          <w:szCs w:val="21"/>
        </w:rPr>
        <w:t>投标文件由商务文件、投标报价</w:t>
      </w:r>
      <w:r>
        <w:rPr>
          <w:rFonts w:hint="eastAsia" w:ascii="宋体" w:hAnsi="宋体" w:eastAsia="宋体"/>
          <w:szCs w:val="21"/>
          <w:lang w:eastAsia="zh-CN"/>
        </w:rPr>
        <w:t>、</w:t>
      </w:r>
      <w:r>
        <w:rPr>
          <w:rFonts w:hint="eastAsia" w:ascii="宋体" w:hAnsi="宋体" w:eastAsia="宋体"/>
          <w:szCs w:val="21"/>
          <w:lang w:val="en-US" w:eastAsia="zh-CN"/>
        </w:rPr>
        <w:t>技术文件</w:t>
      </w:r>
      <w:r>
        <w:rPr>
          <w:rFonts w:hint="eastAsia" w:ascii="宋体" w:hAnsi="宋体" w:eastAsia="宋体"/>
          <w:szCs w:val="21"/>
        </w:rPr>
        <w:t>文件组成。</w:t>
      </w:r>
    </w:p>
    <w:p>
      <w:pPr>
        <w:spacing w:line="360" w:lineRule="auto"/>
        <w:ind w:left="141" w:leftChars="67"/>
        <w:rPr>
          <w:rFonts w:hint="eastAsia" w:ascii="宋体" w:hAnsi="宋体" w:eastAsia="宋体"/>
          <w:b/>
          <w:szCs w:val="21"/>
          <w:lang w:eastAsia="zh-CN"/>
        </w:rPr>
      </w:pPr>
      <w:r>
        <w:rPr>
          <w:rFonts w:hint="eastAsia" w:ascii="宋体" w:hAnsi="宋体" w:eastAsia="宋体"/>
          <w:b/>
          <w:szCs w:val="21"/>
        </w:rPr>
        <w:t>1.</w:t>
      </w:r>
      <w:r>
        <w:rPr>
          <w:rFonts w:hint="eastAsia"/>
        </w:rPr>
        <w:t xml:space="preserve"> </w:t>
      </w:r>
      <w:r>
        <w:rPr>
          <w:rFonts w:hint="eastAsia" w:ascii="宋体" w:hAnsi="宋体" w:eastAsia="宋体"/>
          <w:b/>
          <w:szCs w:val="21"/>
        </w:rPr>
        <w:t>商务文件</w:t>
      </w:r>
      <w:r>
        <w:rPr>
          <w:rFonts w:hint="eastAsia" w:ascii="宋体" w:hAnsi="宋体" w:eastAsia="宋体"/>
          <w:b/>
          <w:szCs w:val="21"/>
          <w:lang w:eastAsia="zh-CN"/>
        </w:rPr>
        <w:t>（</w:t>
      </w:r>
      <w:r>
        <w:rPr>
          <w:rFonts w:hint="eastAsia" w:ascii="宋体" w:hAnsi="宋体" w:eastAsia="宋体"/>
          <w:b/>
          <w:szCs w:val="21"/>
          <w:lang w:val="en-US" w:eastAsia="zh-CN"/>
        </w:rPr>
        <w:t>必须提供</w:t>
      </w:r>
      <w:r>
        <w:rPr>
          <w:rFonts w:hint="eastAsia" w:ascii="宋体" w:hAnsi="宋体" w:eastAsia="宋体"/>
          <w:b/>
          <w:szCs w:val="21"/>
          <w:lang w:eastAsia="zh-CN"/>
        </w:rPr>
        <w:t>）</w:t>
      </w:r>
    </w:p>
    <w:p>
      <w:pPr>
        <w:pStyle w:val="10"/>
        <w:snapToGrid w:val="0"/>
        <w:spacing w:line="360" w:lineRule="auto"/>
        <w:ind w:firstLine="308" w:firstLineChars="147"/>
        <w:rPr>
          <w:rFonts w:ascii="宋体" w:hAnsi="宋体" w:eastAsia="宋体"/>
          <w:bCs/>
        </w:rPr>
      </w:pPr>
      <w:r>
        <w:rPr>
          <w:rFonts w:hint="eastAsia" w:ascii="宋体" w:hAnsi="宋体" w:eastAsia="宋体"/>
          <w:bCs/>
        </w:rPr>
        <w:t>（1）法人或者其他组织的营业执照等证明文件复印件，（投标人属自然人的提供自然人的身份证明）；</w:t>
      </w:r>
    </w:p>
    <w:p>
      <w:pPr>
        <w:pStyle w:val="10"/>
        <w:snapToGrid w:val="0"/>
        <w:spacing w:line="360" w:lineRule="auto"/>
        <w:ind w:firstLine="308" w:firstLineChars="147"/>
        <w:rPr>
          <w:rFonts w:ascii="宋体" w:hAnsi="宋体" w:eastAsia="宋体"/>
          <w:bCs/>
        </w:rPr>
      </w:pPr>
      <w:r>
        <w:rPr>
          <w:rFonts w:hint="eastAsia" w:ascii="宋体" w:hAnsi="宋体" w:eastAsia="宋体"/>
          <w:bCs/>
        </w:rPr>
        <w:t>注：</w:t>
      </w:r>
      <w:r>
        <w:rPr>
          <w:rFonts w:ascii="宋体" w:hAnsi="宋体" w:eastAsia="宋体"/>
          <w:bCs/>
        </w:rPr>
        <w:fldChar w:fldCharType="begin"/>
      </w:r>
      <w:r>
        <w:rPr>
          <w:rFonts w:ascii="宋体" w:hAnsi="宋体" w:eastAsia="宋体"/>
          <w:bCs/>
        </w:rPr>
        <w:instrText xml:space="preserve"> </w:instrText>
      </w:r>
      <w:r>
        <w:rPr>
          <w:rFonts w:hint="eastAsia" w:ascii="宋体" w:hAnsi="宋体" w:eastAsia="宋体"/>
          <w:bCs/>
        </w:rPr>
        <w:instrText xml:space="preserve">eq \o\ac(○,1)</w:instrText>
      </w:r>
      <w:r>
        <w:rPr>
          <w:rFonts w:ascii="宋体" w:hAnsi="宋体" w:eastAsia="宋体"/>
          <w:bCs/>
        </w:rPr>
        <w:fldChar w:fldCharType="end"/>
      </w:r>
      <w:r>
        <w:rPr>
          <w:rFonts w:hint="eastAsia" w:ascii="宋体" w:hAnsi="宋体" w:eastAsia="宋体"/>
          <w:bCs/>
        </w:rPr>
        <w:t>法人包括企业法人、机关法人和社会团体法人；其他组织主要包括合伙企业、非企业专业服务机构、个体工商户、农村承包经营户。</w:t>
      </w:r>
      <w:r>
        <w:rPr>
          <w:rFonts w:ascii="宋体" w:hAnsi="宋体" w:eastAsia="宋体"/>
          <w:bCs/>
        </w:rPr>
        <w:fldChar w:fldCharType="begin"/>
      </w:r>
      <w:r>
        <w:rPr>
          <w:rFonts w:ascii="宋体" w:hAnsi="宋体" w:eastAsia="宋体"/>
          <w:bCs/>
        </w:rPr>
        <w:instrText xml:space="preserve"> </w:instrText>
      </w:r>
      <w:r>
        <w:rPr>
          <w:rFonts w:hint="eastAsia" w:ascii="宋体" w:hAnsi="宋体" w:eastAsia="宋体"/>
          <w:bCs/>
        </w:rPr>
        <w:instrText xml:space="preserve">eq \o\ac(○,2)</w:instrText>
      </w:r>
      <w:r>
        <w:rPr>
          <w:rFonts w:ascii="宋体" w:hAnsi="宋体" w:eastAsia="宋体"/>
          <w:bCs/>
        </w:rPr>
        <w:fldChar w:fldCharType="end"/>
      </w:r>
      <w:r>
        <w:rPr>
          <w:rFonts w:hint="eastAsia" w:ascii="宋体" w:hAnsi="宋体" w:eastAsia="宋体"/>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10"/>
        <w:snapToGrid w:val="0"/>
        <w:spacing w:line="360" w:lineRule="auto"/>
        <w:ind w:firstLine="308" w:firstLineChars="147"/>
        <w:rPr>
          <w:rFonts w:ascii="宋体" w:hAnsi="宋体" w:eastAsia="宋体"/>
          <w:bCs/>
        </w:rPr>
      </w:pPr>
      <w:r>
        <w:rPr>
          <w:rFonts w:hint="eastAsia" w:ascii="宋体" w:hAnsi="宋体" w:eastAsia="宋体"/>
          <w:bCs/>
        </w:rPr>
        <w:t>（2）投标人投标截止日之前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宋体" w:hAnsi="宋体" w:eastAsia="宋体"/>
          <w:szCs w:val="21"/>
        </w:rPr>
      </w:pPr>
      <w:r>
        <w:rPr>
          <w:rFonts w:hint="eastAsia" w:ascii="宋体" w:hAnsi="宋体" w:eastAsia="宋体"/>
          <w:szCs w:val="21"/>
        </w:rPr>
        <w:t>（3）投标声明书；</w:t>
      </w:r>
    </w:p>
    <w:p>
      <w:pPr>
        <w:tabs>
          <w:tab w:val="left" w:pos="1305"/>
        </w:tabs>
        <w:spacing w:line="360" w:lineRule="auto"/>
        <w:ind w:firstLine="210" w:firstLineChars="100"/>
        <w:rPr>
          <w:rFonts w:ascii="宋体" w:hAnsi="宋体"/>
          <w:szCs w:val="21"/>
        </w:rPr>
      </w:pPr>
      <w:r>
        <w:rPr>
          <w:rFonts w:hint="eastAsia" w:ascii="宋体" w:hAnsi="宋体" w:eastAsia="宋体"/>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hint="eastAsia" w:ascii="宋体" w:hAnsi="宋体"/>
          <w:b/>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pStyle w:val="3"/>
        <w:ind w:left="0" w:leftChars="0" w:firstLine="210" w:firstLineChars="100"/>
        <w:rPr>
          <w:rFonts w:hint="default" w:eastAsia="宋体"/>
          <w:lang w:val="en-US" w:eastAsia="zh-CN"/>
        </w:rPr>
      </w:pPr>
      <w:r>
        <w:rPr>
          <w:rFonts w:hint="eastAsia" w:hAnsi="宋体"/>
          <w:b w:val="0"/>
          <w:bCs/>
          <w:szCs w:val="21"/>
          <w:lang w:eastAsia="zh-CN"/>
        </w:rPr>
        <w:t>（</w:t>
      </w:r>
      <w:r>
        <w:rPr>
          <w:rFonts w:hint="eastAsia" w:hAnsi="宋体"/>
          <w:b w:val="0"/>
          <w:bCs/>
          <w:szCs w:val="21"/>
          <w:lang w:val="en-US" w:eastAsia="zh-CN"/>
        </w:rPr>
        <w:t>6</w:t>
      </w:r>
      <w:r>
        <w:rPr>
          <w:rFonts w:hint="eastAsia" w:hAnsi="宋体"/>
          <w:b w:val="0"/>
          <w:bCs/>
          <w:szCs w:val="21"/>
          <w:lang w:eastAsia="zh-CN"/>
        </w:rPr>
        <w:t>）</w:t>
      </w:r>
      <w:r>
        <w:rPr>
          <w:rFonts w:hint="eastAsia" w:hAnsi="宋体"/>
          <w:b w:val="0"/>
          <w:bCs/>
          <w:szCs w:val="21"/>
          <w:lang w:val="en-US" w:eastAsia="zh-CN"/>
        </w:rPr>
        <w:t>中小企业声明函</w:t>
      </w:r>
      <w:r>
        <w:rPr>
          <w:rFonts w:hint="eastAsia" w:hAnsi="宋体"/>
          <w:b/>
          <w:szCs w:val="21"/>
          <w:lang w:val="en-US" w:eastAsia="zh-CN"/>
        </w:rPr>
        <w:t>（如有请提供）</w:t>
      </w:r>
    </w:p>
    <w:p>
      <w:pPr>
        <w:spacing w:line="360" w:lineRule="auto"/>
        <w:ind w:left="141" w:leftChars="67"/>
        <w:rPr>
          <w:rFonts w:hint="eastAsia" w:ascii="宋体" w:hAnsi="宋体" w:eastAsia="宋体"/>
          <w:b/>
          <w:szCs w:val="21"/>
          <w:lang w:eastAsia="zh-CN"/>
        </w:rPr>
      </w:pPr>
      <w:r>
        <w:rPr>
          <w:rFonts w:hint="eastAsia" w:ascii="宋体" w:hAnsi="宋体" w:eastAsia="宋体"/>
          <w:b/>
          <w:szCs w:val="21"/>
        </w:rPr>
        <w:t>2.报价文件</w:t>
      </w:r>
      <w:r>
        <w:rPr>
          <w:rFonts w:hint="eastAsia" w:ascii="宋体" w:hAnsi="宋体" w:eastAsia="宋体"/>
          <w:b/>
          <w:szCs w:val="21"/>
          <w:lang w:eastAsia="zh-CN"/>
        </w:rPr>
        <w:t>（</w:t>
      </w:r>
      <w:r>
        <w:rPr>
          <w:rFonts w:hint="eastAsia" w:ascii="宋体" w:hAnsi="宋体" w:eastAsia="宋体"/>
          <w:b/>
          <w:szCs w:val="21"/>
          <w:lang w:val="en-US" w:eastAsia="zh-CN"/>
        </w:rPr>
        <w:t>必须提供</w:t>
      </w:r>
      <w:r>
        <w:rPr>
          <w:rFonts w:hint="eastAsia" w:ascii="宋体" w:hAnsi="宋体" w:eastAsia="宋体"/>
          <w:b/>
          <w:szCs w:val="21"/>
          <w:lang w:eastAsia="zh-CN"/>
        </w:rPr>
        <w:t>）</w:t>
      </w:r>
    </w:p>
    <w:p>
      <w:pPr>
        <w:spacing w:line="360" w:lineRule="auto"/>
        <w:ind w:left="141" w:leftChars="67"/>
        <w:rPr>
          <w:rFonts w:ascii="宋体" w:hAnsi="宋体" w:eastAsia="宋体"/>
          <w:szCs w:val="21"/>
        </w:rPr>
      </w:pPr>
      <w:r>
        <w:rPr>
          <w:rFonts w:hint="eastAsia" w:ascii="宋体" w:hAnsi="宋体" w:eastAsia="宋体"/>
          <w:szCs w:val="21"/>
        </w:rPr>
        <w:t>(1)投标函(格式见附件)；</w:t>
      </w:r>
    </w:p>
    <w:p>
      <w:pPr>
        <w:spacing w:line="360" w:lineRule="auto"/>
        <w:ind w:left="141" w:leftChars="67"/>
        <w:rPr>
          <w:rFonts w:ascii="宋体" w:hAnsi="宋体" w:eastAsia="宋体"/>
          <w:szCs w:val="21"/>
        </w:rPr>
      </w:pPr>
      <w:r>
        <w:rPr>
          <w:rFonts w:hint="eastAsia" w:ascii="宋体" w:hAnsi="宋体" w:eastAsia="宋体"/>
          <w:szCs w:val="21"/>
        </w:rPr>
        <w:t>(2)投标报价明细表(格式见附件)；</w:t>
      </w:r>
    </w:p>
    <w:p>
      <w:pPr>
        <w:spacing w:line="360" w:lineRule="auto"/>
        <w:ind w:left="141" w:leftChars="67"/>
        <w:rPr>
          <w:rFonts w:hint="eastAsia" w:ascii="宋体" w:hAnsi="宋体" w:eastAsia="宋体"/>
          <w:szCs w:val="21"/>
        </w:rPr>
      </w:pPr>
      <w:r>
        <w:rPr>
          <w:rFonts w:hint="eastAsia" w:ascii="宋体" w:hAnsi="宋体" w:eastAsia="宋体"/>
          <w:szCs w:val="21"/>
        </w:rPr>
        <w:t>(3)投标人针对报价需要说明的其他文件和说明(格式自拟)。</w:t>
      </w:r>
    </w:p>
    <w:p>
      <w:pPr>
        <w:pStyle w:val="6"/>
        <w:ind w:firstLine="211" w:firstLineChars="100"/>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3.技术文件</w:t>
      </w:r>
      <w:r>
        <w:rPr>
          <w:rFonts w:hint="eastAsia" w:ascii="宋体" w:hAnsi="宋体" w:cs="Times New Roman"/>
          <w:b/>
          <w:kern w:val="2"/>
          <w:sz w:val="21"/>
          <w:szCs w:val="21"/>
          <w:lang w:val="en-US" w:eastAsia="zh-CN" w:bidi="ar-SA"/>
        </w:rPr>
        <w:t>（按需提供）</w:t>
      </w:r>
    </w:p>
    <w:p>
      <w:pPr>
        <w:pStyle w:val="6"/>
        <w:ind w:firstLine="210" w:firstLineChars="1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1.技术需求偏离表</w:t>
      </w:r>
    </w:p>
    <w:p>
      <w:pPr>
        <w:pStyle w:val="6"/>
        <w:ind w:firstLine="210" w:firstLineChars="1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2.项目实施方案（格式自拟）</w:t>
      </w:r>
    </w:p>
    <w:p>
      <w:pPr>
        <w:pStyle w:val="17"/>
        <w:ind w:firstLine="210" w:firstLineChars="100"/>
        <w:rPr>
          <w:rFonts w:hint="default"/>
          <w:lang w:val="en-US" w:eastAsia="zh-CN"/>
        </w:rPr>
      </w:pPr>
      <w:r>
        <w:rPr>
          <w:rFonts w:hint="eastAsia" w:hAnsi="宋体" w:cs="Times New Roman"/>
          <w:kern w:val="2"/>
          <w:sz w:val="21"/>
          <w:szCs w:val="21"/>
          <w:lang w:val="en-US" w:eastAsia="zh-CN" w:bidi="ar-SA"/>
        </w:rPr>
        <w:t>3.售后服务</w:t>
      </w:r>
      <w:r>
        <w:rPr>
          <w:rFonts w:hint="eastAsia" w:ascii="宋体" w:hAnsi="宋体" w:eastAsia="宋体" w:cs="Times New Roman"/>
          <w:kern w:val="2"/>
          <w:sz w:val="21"/>
          <w:szCs w:val="21"/>
          <w:lang w:val="en-US" w:eastAsia="zh-CN" w:bidi="ar-SA"/>
        </w:rPr>
        <w:t>（格式自拟）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4</w:t>
      </w:r>
      <w:r>
        <w:rPr>
          <w:rFonts w:hint="eastAsia" w:ascii="宋体" w:hAnsi="宋体" w:eastAsia="宋体" w:cs="Times New Roman"/>
          <w:kern w:val="2"/>
          <w:sz w:val="21"/>
          <w:szCs w:val="21"/>
          <w:lang w:val="en-US" w:eastAsia="zh-CN" w:bidi="ar-SA"/>
        </w:rPr>
        <w:t>.产品出厂标准、质量检测报告（如有请提供，格式自拟）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5</w:t>
      </w:r>
      <w:r>
        <w:rPr>
          <w:rFonts w:hint="eastAsia" w:ascii="宋体" w:hAnsi="宋体" w:eastAsia="宋体" w:cs="Times New Roman"/>
          <w:kern w:val="2"/>
          <w:sz w:val="21"/>
          <w:szCs w:val="21"/>
          <w:lang w:val="en-US" w:eastAsia="zh-CN" w:bidi="ar-SA"/>
        </w:rPr>
        <w:t>.优惠条件：投标人承诺给予招标人的各种优惠条件，包括售后服务、备品备件、专用耗材等方面的优惠；投标人不得给予赠品或者与采购无关的其他商品、服务；（如有请提供，格式自拟）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6</w:t>
      </w:r>
      <w:r>
        <w:rPr>
          <w:rFonts w:hint="eastAsia" w:ascii="宋体" w:hAnsi="宋体" w:eastAsia="宋体" w:cs="Times New Roman"/>
          <w:kern w:val="2"/>
          <w:sz w:val="21"/>
          <w:szCs w:val="21"/>
          <w:lang w:val="en-US" w:eastAsia="zh-CN" w:bidi="ar-SA"/>
        </w:rPr>
        <w:t>.投标人对本项目的合理化建议和改进措施（格式自拟）；</w:t>
      </w:r>
    </w:p>
    <w:p>
      <w:pPr>
        <w:snapToGrid w:val="0"/>
        <w:spacing w:line="380" w:lineRule="exact"/>
        <w:ind w:firstLine="210" w:firstLineChars="100"/>
        <w:jc w:val="left"/>
        <w:rPr>
          <w:rFonts w:hint="default" w:ascii="宋体" w:hAnsi="宋体"/>
          <w:szCs w:val="21"/>
          <w:lang w:val="en-US" w:eastAsia="zh-CN"/>
        </w:rPr>
      </w:pPr>
      <w:r>
        <w:rPr>
          <w:rFonts w:hint="eastAsia" w:ascii="宋体" w:hAnsi="宋体" w:cs="Times New Roman"/>
          <w:kern w:val="2"/>
          <w:sz w:val="21"/>
          <w:szCs w:val="21"/>
          <w:lang w:val="en-US" w:eastAsia="zh-CN" w:bidi="ar-SA"/>
        </w:rPr>
        <w:t>7</w:t>
      </w:r>
      <w:r>
        <w:rPr>
          <w:rFonts w:hint="eastAsia" w:ascii="宋体" w:hAnsi="宋体" w:eastAsia="宋体" w:cs="Times New Roman"/>
          <w:kern w:val="2"/>
          <w:sz w:val="21"/>
          <w:szCs w:val="21"/>
          <w:lang w:val="en-US" w:eastAsia="zh-CN" w:bidi="ar-SA"/>
        </w:rPr>
        <w:t>.除招标文件规定必须提供以外，投标人需要说明的其他文件和说明（格式自拟）。</w:t>
      </w:r>
    </w:p>
    <w:p>
      <w:pPr>
        <w:spacing w:line="360" w:lineRule="auto"/>
        <w:ind w:left="141" w:leftChars="67"/>
        <w:rPr>
          <w:rFonts w:hint="eastAsia" w:ascii="宋体" w:hAnsi="宋体"/>
          <w:b/>
          <w:sz w:val="24"/>
        </w:rPr>
      </w:pPr>
      <w:r>
        <w:rPr>
          <w:rFonts w:hint="eastAsia" w:ascii="宋体" w:hAnsi="宋体" w:cs="宋体"/>
          <w:b/>
          <w:szCs w:val="21"/>
        </w:rPr>
        <w:t>★</w:t>
      </w:r>
      <w:r>
        <w:rPr>
          <w:rFonts w:hint="eastAsia" w:ascii="宋体" w:hAnsi="宋体" w:eastAsia="宋体"/>
          <w:b/>
          <w:szCs w:val="21"/>
        </w:rPr>
        <w:t>注:法定代表人授权委托书必须由法定代表人签名并加盖单位公章；报价文件必须由法定代表人或授权代表签名并加盖单位公章。</w:t>
      </w:r>
    </w:p>
    <w:p>
      <w:pPr>
        <w:rPr>
          <w:rFonts w:hint="eastAsia" w:ascii="宋体" w:hAnsi="宋体"/>
          <w:b/>
          <w:sz w:val="24"/>
        </w:rPr>
      </w:pPr>
      <w:r>
        <w:rPr>
          <w:rFonts w:hint="eastAsia" w:ascii="宋体" w:hAnsi="宋体"/>
          <w:b/>
          <w:sz w:val="24"/>
        </w:rPr>
        <w:br w:type="page"/>
      </w:r>
    </w:p>
    <w:p>
      <w:pPr>
        <w:widowControl/>
        <w:jc w:val="left"/>
        <w:rPr>
          <w:rFonts w:ascii="宋体" w:hAnsi="宋体"/>
          <w:b/>
          <w:sz w:val="24"/>
        </w:rPr>
      </w:pP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10"/>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 xml:space="preserve">                 </w:t>
      </w:r>
    </w:p>
    <w:p>
      <w:pPr>
        <w:snapToGrid w:val="0"/>
        <w:spacing w:line="360" w:lineRule="auto"/>
        <w:ind w:left="130" w:hanging="130" w:hangingChars="62"/>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10"/>
        <w:snapToGrid w:val="0"/>
        <w:jc w:val="center"/>
        <w:rPr>
          <w:rFonts w:hAnsi="宋体"/>
          <w:b/>
          <w:sz w:val="32"/>
          <w:szCs w:val="32"/>
        </w:rPr>
      </w:pPr>
    </w:p>
    <w:p>
      <w:pPr>
        <w:pStyle w:val="10"/>
        <w:snapToGrid w:val="0"/>
        <w:jc w:val="center"/>
        <w:rPr>
          <w:rFonts w:hAnsi="宋体"/>
          <w:b/>
          <w:sz w:val="32"/>
          <w:szCs w:val="32"/>
        </w:rPr>
      </w:pPr>
      <w:r>
        <w:rPr>
          <w:rFonts w:hint="eastAsia" w:hAnsi="宋体"/>
          <w:b/>
          <w:sz w:val="32"/>
          <w:szCs w:val="32"/>
        </w:rPr>
        <w:t>投标报价明细表</w:t>
      </w:r>
    </w:p>
    <w:tbl>
      <w:tblPr>
        <w:tblStyle w:val="14"/>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10"/>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9"/>
        <w:tabs>
          <w:tab w:val="left" w:pos="939"/>
        </w:tabs>
        <w:snapToGrid w:val="0"/>
        <w:spacing w:line="46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18"/>
        <w:snapToGrid w:val="0"/>
        <w:spacing w:line="420" w:lineRule="exact"/>
        <w:ind w:firstLine="200"/>
        <w:rPr>
          <w:rFonts w:ascii="宋体" w:hAnsi="宋体"/>
          <w:sz w:val="21"/>
          <w:szCs w:val="21"/>
        </w:rPr>
      </w:pPr>
    </w:p>
    <w:p>
      <w:pPr>
        <w:snapToGrid w:val="0"/>
        <w:spacing w:line="360" w:lineRule="auto"/>
        <w:ind w:left="130" w:hanging="130" w:hangingChars="62"/>
        <w:rPr>
          <w:rFonts w:asciiTheme="minorEastAsia" w:hAnsiTheme="minorEastAsia" w:eastAsiaTheme="minorEastAsia"/>
          <w:szCs w:val="21"/>
        </w:rPr>
      </w:pP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11"/>
      </w:pPr>
    </w:p>
    <w:p>
      <w:pPr>
        <w:pStyle w:val="11"/>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10"/>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1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Theme="minorEastAsia" w:hAnsiTheme="minorEastAsia" w:eastAsiaTheme="minorEastAsia"/>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1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pPr>
        <w:pStyle w:val="17"/>
      </w:pPr>
    </w:p>
    <w:p>
      <w:pPr>
        <w:pStyle w:val="17"/>
      </w:pPr>
    </w:p>
    <w:p>
      <w:pPr>
        <w:pStyle w:val="17"/>
      </w:pPr>
    </w:p>
    <w:p>
      <w:pPr>
        <w:pStyle w:val="17"/>
      </w:pPr>
    </w:p>
    <w:p>
      <w:pPr>
        <w:pStyle w:val="17"/>
      </w:pPr>
    </w:p>
    <w:p>
      <w:pPr>
        <w:pStyle w:val="17"/>
      </w:pPr>
    </w:p>
    <w:p>
      <w:pPr>
        <w:pStyle w:val="17"/>
      </w:pPr>
    </w:p>
    <w:p>
      <w:pPr>
        <w:pStyle w:val="17"/>
      </w:pPr>
    </w:p>
    <w:p>
      <w:pPr>
        <w:pStyle w:val="10"/>
        <w:spacing w:beforeLines="0" w:afterLines="0" w:line="500" w:lineRule="exact"/>
        <w:jc w:val="center"/>
        <w:rPr>
          <w:rFonts w:hint="default" w:ascii="Times New Roman"/>
          <w:b/>
          <w:color w:val="auto"/>
          <w:sz w:val="30"/>
          <w:szCs w:val="30"/>
          <w:highlight w:val="none"/>
        </w:rPr>
      </w:pPr>
      <w:r>
        <w:rPr>
          <w:rFonts w:hint="eastAsia" w:ascii="Times New Roman" w:hAnsi="Times New Roman"/>
          <w:b/>
          <w:color w:val="auto"/>
          <w:sz w:val="30"/>
          <w:szCs w:val="30"/>
          <w:highlight w:val="none"/>
          <w:lang w:val="en-US" w:eastAsia="zh-CN"/>
        </w:rPr>
        <w:t xml:space="preserve"> </w:t>
      </w:r>
      <w:r>
        <w:rPr>
          <w:rFonts w:hint="eastAsia" w:ascii="Times New Roman" w:hAnsi="Times New Roman"/>
          <w:b/>
          <w:color w:val="auto"/>
          <w:sz w:val="30"/>
          <w:szCs w:val="30"/>
          <w:highlight w:val="none"/>
        </w:rPr>
        <w:t>投标服务技术需求偏离表</w:t>
      </w:r>
    </w:p>
    <w:p>
      <w:pPr>
        <w:pStyle w:val="10"/>
        <w:spacing w:beforeLines="0" w:afterLines="0" w:line="440" w:lineRule="exact"/>
        <w:ind w:firstLine="420" w:firstLineChars="200"/>
        <w:rPr>
          <w:rFonts w:hint="default"/>
          <w:color w:val="auto"/>
          <w:sz w:val="21"/>
          <w:szCs w:val="20"/>
          <w:highlight w:val="none"/>
        </w:rPr>
      </w:pPr>
    </w:p>
    <w:p>
      <w:pPr>
        <w:pStyle w:val="10"/>
        <w:spacing w:beforeLines="0" w:afterLines="0" w:line="600" w:lineRule="exact"/>
        <w:ind w:firstLine="480" w:firstLineChars="200"/>
        <w:rPr>
          <w:rFonts w:hint="default" w:hAnsi="宋体"/>
          <w:color w:val="auto"/>
          <w:sz w:val="24"/>
          <w:szCs w:val="24"/>
          <w:highlight w:val="none"/>
        </w:rPr>
      </w:pPr>
      <w:r>
        <w:rPr>
          <w:rFonts w:hint="eastAsia" w:hAnsi="宋体"/>
          <w:color w:val="auto"/>
          <w:sz w:val="24"/>
          <w:szCs w:val="24"/>
          <w:highlight w:val="none"/>
        </w:rPr>
        <w:t>请根据所投服务的实际技术参数，</w:t>
      </w:r>
      <w:r>
        <w:rPr>
          <w:rFonts w:hint="eastAsia" w:hAnsi="宋体"/>
          <w:b/>
          <w:color w:val="auto"/>
          <w:sz w:val="28"/>
          <w:szCs w:val="28"/>
          <w:highlight w:val="none"/>
        </w:rPr>
        <w:t>逐条对应</w:t>
      </w:r>
      <w:r>
        <w:rPr>
          <w:rFonts w:hint="eastAsia" w:hAnsi="宋体"/>
          <w:color w:val="auto"/>
          <w:sz w:val="24"/>
          <w:szCs w:val="24"/>
          <w:highlight w:val="none"/>
        </w:rPr>
        <w:t>本项目招标文件第</w:t>
      </w:r>
      <w:r>
        <w:rPr>
          <w:rFonts w:hint="eastAsia" w:hAnsi="宋体"/>
          <w:color w:val="auto"/>
          <w:sz w:val="24"/>
          <w:szCs w:val="24"/>
          <w:highlight w:val="none"/>
          <w:lang w:val="en-US" w:eastAsia="zh-CN"/>
        </w:rPr>
        <w:t>一</w:t>
      </w:r>
      <w:r>
        <w:rPr>
          <w:rFonts w:hint="eastAsia" w:hAnsi="宋体"/>
          <w:color w:val="auto"/>
          <w:sz w:val="24"/>
          <w:szCs w:val="24"/>
          <w:highlight w:val="none"/>
        </w:rPr>
        <w:t>章“服务需求一览表”中的</w:t>
      </w:r>
      <w:r>
        <w:rPr>
          <w:rFonts w:hint="eastAsia" w:hAnsi="宋体"/>
          <w:b/>
          <w:color w:val="auto"/>
          <w:sz w:val="28"/>
          <w:szCs w:val="28"/>
          <w:highlight w:val="none"/>
        </w:rPr>
        <w:t>采购清单及服务参数</w:t>
      </w:r>
      <w:r>
        <w:rPr>
          <w:rFonts w:hint="eastAsia" w:hAnsi="宋体"/>
          <w:color w:val="auto"/>
          <w:sz w:val="24"/>
          <w:szCs w:val="24"/>
          <w:highlight w:val="none"/>
        </w:rPr>
        <w:t>详细填写相应的具体内容。“偏离说明”一栏应当选择“正偏离”、“负偏离”或“无偏离”进行填写。</w:t>
      </w:r>
    </w:p>
    <w:tbl>
      <w:tblPr>
        <w:tblStyle w:val="14"/>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eastAsia" w:cs="宋体"/>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服务名称</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服务参数</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服务名称</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cs="宋体"/>
                <w:color w:val="auto"/>
                <w:sz w:val="21"/>
                <w:szCs w:val="21"/>
                <w:highlight w:val="none"/>
              </w:rPr>
              <w:t>...</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u w:val="single"/>
              </w:rPr>
              <w:t>　　</w:t>
            </w:r>
            <w:r>
              <w:rPr>
                <w:rFonts w:hint="eastAsia" w:ascii="宋体" w:hAnsi="宋体" w:cs="宋体"/>
                <w:color w:val="auto"/>
                <w:sz w:val="21"/>
                <w:szCs w:val="21"/>
                <w:highlight w:val="none"/>
              </w:rPr>
              <w:t>分标（此处有分标时填写具体分标号，无分标时填写“无”）</w:t>
            </w:r>
          </w:p>
        </w:tc>
      </w:tr>
    </w:tbl>
    <w:p>
      <w:pPr>
        <w:pStyle w:val="10"/>
        <w:spacing w:beforeLines="0" w:afterLines="0" w:line="360" w:lineRule="auto"/>
        <w:rPr>
          <w:rFonts w:hint="default" w:hAnsi="宋体"/>
          <w:color w:val="auto"/>
          <w:sz w:val="21"/>
          <w:szCs w:val="21"/>
          <w:highlight w:val="none"/>
        </w:rPr>
      </w:pPr>
      <w:r>
        <w:rPr>
          <w:rFonts w:hint="eastAsia" w:hAnsi="宋体"/>
          <w:color w:val="auto"/>
          <w:sz w:val="21"/>
          <w:szCs w:val="21"/>
          <w:highlight w:val="none"/>
        </w:rPr>
        <w:t>注：</w:t>
      </w:r>
    </w:p>
    <w:p>
      <w:pPr>
        <w:pStyle w:val="10"/>
        <w:spacing w:beforeLines="0" w:afterLines="0" w:line="360" w:lineRule="auto"/>
        <w:rPr>
          <w:rFonts w:hint="default" w:hAnsi="宋体"/>
          <w:color w:val="auto"/>
          <w:sz w:val="21"/>
          <w:szCs w:val="21"/>
          <w:highlight w:val="none"/>
        </w:rPr>
      </w:pPr>
      <w:r>
        <w:rPr>
          <w:rFonts w:hint="eastAsia" w:hAnsi="宋体" w:cs="宋体"/>
          <w:color w:val="auto"/>
          <w:sz w:val="21"/>
          <w:szCs w:val="21"/>
          <w:highlight w:val="none"/>
        </w:rPr>
        <w:t>1.</w:t>
      </w:r>
      <w:r>
        <w:rPr>
          <w:rFonts w:hint="eastAsia" w:hAnsi="宋体"/>
          <w:color w:val="auto"/>
          <w:sz w:val="21"/>
          <w:szCs w:val="21"/>
          <w:highlight w:val="none"/>
        </w:rPr>
        <w:t>表格内容均需按要求填写并盖章，不得留空，否则按投标无效处理。</w:t>
      </w:r>
    </w:p>
    <w:p>
      <w:pPr>
        <w:pStyle w:val="10"/>
        <w:spacing w:beforeLines="0" w:afterLines="0" w:line="360" w:lineRule="auto"/>
        <w:rPr>
          <w:rFonts w:hint="default" w:hAnsi="宋体"/>
          <w:color w:val="auto"/>
          <w:sz w:val="21"/>
          <w:szCs w:val="21"/>
          <w:highlight w:val="none"/>
        </w:rPr>
      </w:pPr>
      <w:r>
        <w:rPr>
          <w:rFonts w:hint="eastAsia" w:hAnsi="宋体"/>
          <w:color w:val="auto"/>
          <w:sz w:val="21"/>
          <w:szCs w:val="21"/>
          <w:highlight w:val="none"/>
        </w:rPr>
        <w:t>2.当投标文件的服务内容低于招标文件要求时，投标人应当如实写明“负偏离”，否则视为虚假应标。</w:t>
      </w:r>
    </w:p>
    <w:p>
      <w:pPr>
        <w:pStyle w:val="10"/>
        <w:spacing w:beforeLines="0" w:afterLines="0" w:line="360" w:lineRule="auto"/>
        <w:rPr>
          <w:rFonts w:hint="default"/>
          <w:color w:val="auto"/>
          <w:sz w:val="21"/>
          <w:szCs w:val="20"/>
          <w:highlight w:val="none"/>
        </w:rPr>
      </w:pPr>
      <w:r>
        <w:rPr>
          <w:rFonts w:hint="eastAsia"/>
          <w:color w:val="auto"/>
          <w:sz w:val="21"/>
          <w:szCs w:val="20"/>
          <w:highlight w:val="none"/>
        </w:rPr>
        <w:t>3.</w:t>
      </w:r>
      <w:r>
        <w:rPr>
          <w:rFonts w:hint="eastAsia" w:hAnsi="宋体" w:cs="宋体"/>
          <w:color w:val="auto"/>
          <w:sz w:val="21"/>
          <w:szCs w:val="21"/>
          <w:highlight w:val="none"/>
        </w:rPr>
        <w:t>采购需求中带“★”的条款，也要分别在本表“</w:t>
      </w:r>
      <w:r>
        <w:rPr>
          <w:rFonts w:hint="eastAsia" w:hAnsi="宋体"/>
          <w:color w:val="auto"/>
          <w:sz w:val="21"/>
          <w:szCs w:val="21"/>
          <w:highlight w:val="none"/>
        </w:rPr>
        <w:t>服务参数</w:t>
      </w:r>
      <w:r>
        <w:rPr>
          <w:rFonts w:hint="eastAsia" w:hAnsi="宋体" w:cs="宋体"/>
          <w:color w:val="auto"/>
          <w:sz w:val="21"/>
          <w:szCs w:val="21"/>
          <w:highlight w:val="none"/>
        </w:rPr>
        <w:t>”、“</w:t>
      </w:r>
      <w:r>
        <w:rPr>
          <w:rFonts w:hint="eastAsia" w:hAnsi="宋体"/>
          <w:color w:val="auto"/>
          <w:sz w:val="21"/>
          <w:szCs w:val="21"/>
          <w:highlight w:val="none"/>
        </w:rPr>
        <w:t>所提供服务的内容</w:t>
      </w:r>
      <w:r>
        <w:rPr>
          <w:rFonts w:hint="eastAsia" w:hAnsi="宋体" w:cs="宋体"/>
          <w:color w:val="auto"/>
          <w:sz w:val="21"/>
          <w:szCs w:val="21"/>
          <w:highlight w:val="none"/>
        </w:rPr>
        <w:t>”中标记。</w:t>
      </w:r>
    </w:p>
    <w:p>
      <w:pPr>
        <w:snapToGrid w:val="0"/>
        <w:spacing w:beforeLines="0" w:afterLines="0" w:line="360" w:lineRule="auto"/>
        <w:ind w:firstLine="5640" w:firstLineChars="2350"/>
        <w:rPr>
          <w:rFonts w:hint="default" w:ascii="仿宋_GB2312" w:hAnsi="仿宋" w:eastAsia="仿宋_GB2312" w:cs="仿宋_GB2312"/>
          <w:color w:val="auto"/>
          <w:kern w:val="0"/>
          <w:sz w:val="24"/>
          <w:szCs w:val="24"/>
          <w:highlight w:val="none"/>
          <w:lang w:val="zh-CN"/>
        </w:rPr>
      </w:pPr>
    </w:p>
    <w:p>
      <w:pPr>
        <w:spacing w:line="360" w:lineRule="auto"/>
        <w:ind w:firstLine="3780" w:firstLineChars="1800"/>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pacing w:line="360" w:lineRule="auto"/>
        <w:ind w:firstLine="5040" w:firstLineChars="2400"/>
        <w:rPr>
          <w:rFonts w:hint="default" w:asciiTheme="minorEastAsia" w:hAnsiTheme="minorEastAsia" w:eastAsiaTheme="minorEastAsia"/>
          <w:szCs w:val="21"/>
          <w:lang w:val="zh-CN"/>
        </w:rPr>
      </w:pPr>
      <w:r>
        <w:rPr>
          <w:rFonts w:hint="eastAsia" w:asciiTheme="minorEastAsia" w:hAnsiTheme="minorEastAsia" w:eastAsiaTheme="minorEastAsia"/>
          <w:szCs w:val="21"/>
          <w:lang w:val="zh-CN"/>
        </w:rPr>
        <w:t>日期</w:t>
      </w:r>
      <w:r>
        <w:rPr>
          <w:rFonts w:hint="eastAsia" w:asciiTheme="minorEastAsia" w:hAnsiTheme="minorEastAsia" w:eastAsiaTheme="minorEastAsia"/>
          <w:szCs w:val="21"/>
        </w:rPr>
        <w:t xml:space="preserve">：  年  </w:t>
      </w:r>
      <w:r>
        <w:rPr>
          <w:rFonts w:hint="eastAsia" w:asciiTheme="minorEastAsia" w:hAnsiTheme="minorEastAsia" w:eastAsiaTheme="minorEastAsia"/>
          <w:szCs w:val="21"/>
          <w:lang w:val="zh-CN"/>
        </w:rPr>
        <w:t>月</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zh-CN"/>
        </w:rPr>
        <w:t>日</w:t>
      </w:r>
    </w:p>
    <w:p>
      <w:pPr>
        <w:spacing w:line="360" w:lineRule="auto"/>
        <w:ind w:firstLine="3780" w:firstLineChars="1800"/>
        <w:rPr>
          <w:rFonts w:hint="eastAsia" w:asciiTheme="minorEastAsia" w:hAnsiTheme="minorEastAsia" w:eastAsiaTheme="minorEastAsia"/>
          <w:szCs w:val="21"/>
        </w:rPr>
        <w:sectPr>
          <w:pgSz w:w="11906" w:h="16838"/>
          <w:pgMar w:top="1134" w:right="1134" w:bottom="1134" w:left="1134" w:header="720" w:footer="720" w:gutter="0"/>
          <w:pgBorders>
            <w:top w:val="none" w:sz="0" w:space="0"/>
            <w:left w:val="none" w:sz="0" w:space="0"/>
            <w:bottom w:val="none" w:sz="0" w:space="0"/>
            <w:right w:val="none" w:sz="0" w:space="0"/>
          </w:pgBorders>
          <w:cols w:space="720" w:num="1"/>
          <w:docGrid w:type="lines" w:linePitch="331" w:charSpace="0"/>
        </w:sectPr>
      </w:pPr>
    </w:p>
    <w:p>
      <w:pPr>
        <w:pStyle w:val="10"/>
        <w:ind w:firstLine="3313" w:firstLineChars="1100"/>
        <w:jc w:val="both"/>
        <w:rPr>
          <w:rFonts w:hint="default" w:ascii="Times New Roman" w:hAnsi="Times New Roman" w:eastAsia="宋体" w:cs="Times New Roman"/>
          <w:b/>
          <w:color w:val="auto"/>
          <w:sz w:val="30"/>
          <w:szCs w:val="30"/>
          <w:highlight w:val="none"/>
        </w:rPr>
      </w:pPr>
      <w:r>
        <w:rPr>
          <w:rFonts w:hint="default" w:ascii="Times New Roman" w:hAnsi="Times New Roman" w:eastAsia="宋体" w:cs="Times New Roman"/>
          <w:b/>
          <w:color w:val="auto"/>
          <w:sz w:val="30"/>
          <w:szCs w:val="30"/>
          <w:highlight w:val="none"/>
        </w:rPr>
        <w:t>中小企业声明函</w:t>
      </w:r>
    </w:p>
    <w:p>
      <w:pPr>
        <w:pStyle w:val="7"/>
        <w:spacing w:line="240" w:lineRule="auto"/>
        <w:ind w:firstLine="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说明：</w:t>
      </w:r>
    </w:p>
    <w:p>
      <w:pPr>
        <w:pStyle w:val="7"/>
        <w:spacing w:line="240" w:lineRule="auto"/>
        <w:ind w:firstLine="404"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1、本声明函主要供参加政府采购活动的中小企业填写，非中小企业无需填写。</w:t>
      </w:r>
    </w:p>
    <w:p>
      <w:pPr>
        <w:pStyle w:val="7"/>
        <w:spacing w:line="240" w:lineRule="auto"/>
        <w:ind w:firstLine="404"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2、小型、微型企业提供中型企业提供的服务的，视同为中型企业。</w:t>
      </w:r>
    </w:p>
    <w:p>
      <w:pPr>
        <w:pStyle w:val="7"/>
        <w:spacing w:line="240" w:lineRule="auto"/>
        <w:ind w:firstLine="404" w:firstLineChars="200"/>
        <w:rPr>
          <w:rFonts w:hint="default" w:ascii="Times New Roman" w:hAnsi="Times New Roman" w:eastAsia="宋体" w:cs="Times New Roman"/>
          <w:color w:val="auto"/>
          <w:sz w:val="21"/>
          <w:szCs w:val="21"/>
          <w:highlight w:val="none"/>
        </w:rPr>
      </w:pPr>
    </w:p>
    <w:p>
      <w:pPr>
        <w:pStyle w:val="6"/>
        <w:spacing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本公司郑重声明，根据《政府采购促进中小企业发展管理办法》（财库﹝2020﹞46号）的规定，本公司参加</w:t>
      </w:r>
      <w:r>
        <w:rPr>
          <w:rFonts w:hint="eastAsia" w:cs="Times New Roman"/>
          <w:color w:val="auto"/>
          <w:highlight w:val="none"/>
          <w:u w:val="single"/>
          <w:lang w:val="en-US" w:eastAsia="zh-CN"/>
        </w:rPr>
        <w:t xml:space="preserve">           </w:t>
      </w:r>
      <w:r>
        <w:rPr>
          <w:rFonts w:hint="default" w:ascii="Times New Roman" w:hAnsi="Times New Roman" w:eastAsia="宋体" w:cs="Times New Roman"/>
          <w:color w:val="auto"/>
          <w:highlight w:val="none"/>
        </w:rPr>
        <w:t>的</w:t>
      </w:r>
      <w:r>
        <w:rPr>
          <w:rFonts w:hint="eastAsia" w:cs="Times New Roman"/>
          <w:color w:val="auto"/>
          <w:highlight w:val="none"/>
          <w:u w:val="single"/>
          <w:lang w:val="en-US" w:eastAsia="zh-CN"/>
        </w:rPr>
        <w:t xml:space="preserve">                      </w:t>
      </w:r>
      <w:r>
        <w:rPr>
          <w:rFonts w:hint="default" w:ascii="Times New Roman" w:hAnsi="Times New Roman" w:eastAsia="宋体" w:cs="Times New Roman"/>
          <w:color w:val="auto"/>
          <w:highlight w:val="none"/>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00" w:firstLineChars="286"/>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u w:val="single"/>
        </w:rPr>
        <w:t>（标的名称）</w:t>
      </w:r>
      <w:r>
        <w:rPr>
          <w:rFonts w:hint="default" w:ascii="Times New Roman" w:hAnsi="Times New Roman" w:eastAsia="宋体" w:cs="Times New Roman"/>
          <w:color w:val="auto"/>
          <w:szCs w:val="21"/>
          <w:highlight w:val="none"/>
        </w:rPr>
        <w:t>，属于</w:t>
      </w:r>
      <w:r>
        <w:rPr>
          <w:rFonts w:hint="default" w:ascii="Times New Roman" w:hAnsi="Times New Roman" w:eastAsia="宋体" w:cs="Times New Roman"/>
          <w:color w:val="auto"/>
          <w:szCs w:val="21"/>
          <w:highlight w:val="none"/>
          <w:u w:val="single"/>
        </w:rPr>
        <w:t>（采购文件中明确的所属行业）</w:t>
      </w:r>
      <w:r>
        <w:rPr>
          <w:rFonts w:hint="default" w:ascii="Times New Roman" w:hAnsi="Times New Roman" w:eastAsia="宋体" w:cs="Times New Roman"/>
          <w:color w:val="auto"/>
          <w:szCs w:val="21"/>
          <w:highlight w:val="none"/>
        </w:rPr>
        <w:t>；承接企业为</w:t>
      </w:r>
      <w:r>
        <w:rPr>
          <w:rFonts w:hint="default" w:ascii="Times New Roman" w:hAnsi="Times New Roman" w:eastAsia="宋体" w:cs="Times New Roman"/>
          <w:color w:val="auto"/>
          <w:szCs w:val="21"/>
          <w:highlight w:val="none"/>
          <w:u w:val="single"/>
        </w:rPr>
        <w:t>（企业名称）</w:t>
      </w:r>
      <w:r>
        <w:rPr>
          <w:rFonts w:hint="default" w:ascii="Times New Roman" w:hAnsi="Times New Roman" w:eastAsia="宋体" w:cs="Times New Roman"/>
          <w:color w:val="auto"/>
          <w:szCs w:val="21"/>
          <w:highlight w:val="none"/>
        </w:rPr>
        <w:t>，从业人员</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人，营业收入为</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万元，资产总额为</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万元，属于</w:t>
      </w:r>
      <w:r>
        <w:rPr>
          <w:rFonts w:hint="default" w:ascii="Times New Roman" w:hAnsi="Times New Roman" w:eastAsia="宋体" w:cs="Times New Roman"/>
          <w:color w:val="auto"/>
          <w:szCs w:val="21"/>
          <w:highlight w:val="none"/>
          <w:u w:val="single"/>
        </w:rPr>
        <w:t>（中型企业、小型企业、微型企业）</w:t>
      </w:r>
      <w:r>
        <w:rPr>
          <w:rFonts w:hint="default" w:ascii="Times New Roman" w:hAnsi="Times New Roman" w:eastAsia="宋体" w:cs="Times New Roman"/>
          <w:color w:val="auto"/>
          <w:szCs w:val="21"/>
          <w:highlight w:val="none"/>
        </w:rPr>
        <w:t>；</w:t>
      </w:r>
    </w:p>
    <w:p>
      <w:pPr>
        <w:pStyle w:val="6"/>
        <w:spacing w:before="34" w:line="500" w:lineRule="exact"/>
        <w:ind w:right="142"/>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 xml:space="preserve"> </w:t>
      </w:r>
    </w:p>
    <w:p>
      <w:pPr>
        <w:pStyle w:val="6"/>
        <w:spacing w:before="34"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以上企业，不属于大企业的分支机构，不存在控股股东为大企业的情形，也不存在与大企业的负责人为同一人的情形。</w:t>
      </w:r>
    </w:p>
    <w:p>
      <w:pPr>
        <w:pStyle w:val="6"/>
        <w:spacing w:before="34"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本企业对上述声明内容的真实性负责。如有虚假，将依法承担相应责任。</w:t>
      </w:r>
    </w:p>
    <w:p>
      <w:pPr>
        <w:pStyle w:val="10"/>
        <w:spacing w:line="360" w:lineRule="auto"/>
        <w:ind w:firstLine="420" w:firstLineChars="200"/>
        <w:rPr>
          <w:rFonts w:hint="default" w:ascii="Times New Roman" w:hAnsi="Times New Roman" w:eastAsia="宋体" w:cs="Times New Roman"/>
          <w:color w:val="auto"/>
          <w:szCs w:val="21"/>
          <w:highlight w:val="none"/>
        </w:rPr>
      </w:pPr>
    </w:p>
    <w:p>
      <w:pPr>
        <w:pStyle w:val="10"/>
        <w:spacing w:line="360" w:lineRule="auto"/>
        <w:ind w:firstLine="420" w:firstLineChars="200"/>
        <w:rPr>
          <w:rFonts w:hint="default" w:ascii="Times New Roman" w:hAnsi="Times New Roman" w:eastAsia="宋体" w:cs="Times New Roman"/>
          <w:color w:val="auto"/>
          <w:szCs w:val="21"/>
          <w:highlight w:val="none"/>
        </w:rPr>
      </w:pPr>
    </w:p>
    <w:p>
      <w:pPr>
        <w:snapToGrid w:val="0"/>
        <w:spacing w:line="360" w:lineRule="auto"/>
        <w:ind w:firstLine="5040" w:firstLineChars="21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lang w:val="zh-CN"/>
        </w:rPr>
        <w:t>投标人名称(签章)：</w:t>
      </w:r>
    </w:p>
    <w:p>
      <w:pPr>
        <w:snapToGrid w:val="0"/>
        <w:spacing w:line="360" w:lineRule="auto"/>
        <w:ind w:firstLine="5160" w:firstLineChars="2150"/>
        <w:rPr>
          <w:rFonts w:hint="default" w:ascii="Times New Roman" w:hAnsi="Times New Roman" w:eastAsia="宋体" w:cs="Times New Roman"/>
          <w:color w:val="auto"/>
          <w:kern w:val="0"/>
          <w:sz w:val="24"/>
          <w:highlight w:val="none"/>
          <w:lang w:val="zh-CN"/>
        </w:rPr>
      </w:pPr>
      <w:r>
        <w:rPr>
          <w:rFonts w:hint="default" w:ascii="Times New Roman" w:hAnsi="Times New Roman" w:eastAsia="宋体" w:cs="Times New Roman"/>
          <w:color w:val="auto"/>
          <w:kern w:val="0"/>
          <w:sz w:val="24"/>
          <w:highlight w:val="none"/>
          <w:lang w:val="zh-CN"/>
        </w:rPr>
        <w:t>日期</w:t>
      </w:r>
      <w:r>
        <w:rPr>
          <w:rFonts w:hint="default" w:ascii="Times New Roman" w:hAnsi="Times New Roman" w:eastAsia="宋体" w:cs="Times New Roman"/>
          <w:color w:val="auto"/>
          <w:kern w:val="0"/>
          <w:sz w:val="24"/>
          <w:highlight w:val="none"/>
        </w:rPr>
        <w:t xml:space="preserve">：  年  </w:t>
      </w:r>
      <w:r>
        <w:rPr>
          <w:rFonts w:hint="default" w:ascii="Times New Roman" w:hAnsi="Times New Roman" w:eastAsia="宋体" w:cs="Times New Roman"/>
          <w:color w:val="auto"/>
          <w:kern w:val="0"/>
          <w:sz w:val="24"/>
          <w:highlight w:val="none"/>
          <w:lang w:val="zh-CN"/>
        </w:rPr>
        <w:t>月</w:t>
      </w:r>
      <w:r>
        <w:rPr>
          <w:rFonts w:hint="default" w:ascii="Times New Roman" w:hAnsi="Times New Roman" w:eastAsia="宋体" w:cs="Times New Roman"/>
          <w:color w:val="auto"/>
          <w:kern w:val="0"/>
          <w:sz w:val="24"/>
          <w:highlight w:val="none"/>
        </w:rPr>
        <w:t xml:space="preserve">   </w:t>
      </w:r>
      <w:r>
        <w:rPr>
          <w:rFonts w:hint="default" w:ascii="Times New Roman" w:hAnsi="Times New Roman" w:eastAsia="宋体" w:cs="Times New Roman"/>
          <w:color w:val="auto"/>
          <w:kern w:val="0"/>
          <w:sz w:val="24"/>
          <w:highlight w:val="none"/>
          <w:lang w:val="zh-CN"/>
        </w:rPr>
        <w:t>日</w:t>
      </w:r>
    </w:p>
    <w:p>
      <w:pPr>
        <w:pStyle w:val="10"/>
        <w:spacing w:line="360" w:lineRule="auto"/>
        <w:ind w:firstLine="420" w:firstLineChars="200"/>
        <w:rPr>
          <w:rFonts w:hint="default" w:ascii="Times New Roman" w:hAnsi="Times New Roman" w:eastAsia="宋体" w:cs="Times New Roman"/>
          <w:color w:val="auto"/>
          <w:szCs w:val="21"/>
          <w:highlight w:val="none"/>
        </w:rPr>
      </w:pPr>
    </w:p>
    <w:p>
      <w:pPr>
        <w:snapToGrid w:val="0"/>
        <w:spacing w:before="50" w:after="165" w:afterLines="50" w:line="360" w:lineRule="auto"/>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注：</w:t>
      </w:r>
    </w:p>
    <w:p>
      <w:pPr>
        <w:numPr>
          <w:ilvl w:val="0"/>
          <w:numId w:val="2"/>
        </w:numPr>
        <w:snapToGrid w:val="0"/>
        <w:spacing w:before="50" w:after="165" w:afterLines="50" w:line="360" w:lineRule="auto"/>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从业人员、营业收入、资产总额填报上一年度数据，无上一年度数据的新成立企业可不填报。</w:t>
      </w:r>
    </w:p>
    <w:p>
      <w:pPr>
        <w:snapToGrid w:val="0"/>
        <w:spacing w:before="50" w:after="165" w:afterLines="50" w:line="360" w:lineRule="auto"/>
        <w:ind w:firstLine="300" w:firstLineChars="150"/>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2、请根据自己的真实情况出具《中小企业声明函》。依法享受中小企业优惠政策的，采购人或者采购代理机构在公告中标结果时，同时公告其《中小企业声明函》，接受社会监督。</w:t>
      </w:r>
    </w:p>
    <w:p>
      <w:pPr>
        <w:pStyle w:val="4"/>
      </w:pPr>
    </w:p>
    <w:p/>
    <w:p>
      <w:pPr>
        <w:spacing w:line="528" w:lineRule="exact"/>
        <w:ind w:left="1871" w:firstLine="1200" w:firstLineChars="300"/>
        <w:rPr>
          <w:rFonts w:hint="default" w:ascii="Times New Roman" w:hAnsi="Times New Roman" w:eastAsia="宋体" w:cs="Times New Roman"/>
          <w:color w:val="auto"/>
          <w:sz w:val="40"/>
          <w:szCs w:val="40"/>
        </w:rPr>
      </w:pPr>
    </w:p>
    <w:p>
      <w:pPr>
        <w:spacing w:line="528" w:lineRule="exact"/>
        <w:ind w:left="1871" w:firstLine="1200" w:firstLineChars="300"/>
        <w:rPr>
          <w:rFonts w:hint="default" w:ascii="Times New Roman" w:hAnsi="Times New Roman" w:eastAsia="宋体" w:cs="Times New Roman"/>
          <w:color w:val="auto"/>
          <w:sz w:val="40"/>
          <w:szCs w:val="40"/>
        </w:rPr>
      </w:pPr>
    </w:p>
    <w:p>
      <w:pPr>
        <w:spacing w:line="528" w:lineRule="exact"/>
        <w:ind w:left="1871" w:firstLine="1200" w:firstLineChars="300"/>
        <w:rPr>
          <w:rFonts w:hint="default" w:ascii="Times New Roman" w:hAnsi="Times New Roman" w:eastAsia="宋体" w:cs="Times New Roman"/>
          <w:color w:val="auto"/>
          <w:sz w:val="40"/>
          <w:szCs w:val="40"/>
        </w:rPr>
      </w:pPr>
      <w:r>
        <w:rPr>
          <w:rFonts w:hint="default" w:ascii="Times New Roman" w:hAnsi="Times New Roman" w:eastAsia="宋体" w:cs="Times New Roman"/>
          <w:color w:val="auto"/>
          <w:sz w:val="40"/>
          <w:szCs w:val="40"/>
        </w:rPr>
        <w:t>中小微企业划型标准</w:t>
      </w:r>
    </w:p>
    <w:tbl>
      <w:tblPr>
        <w:tblStyle w:val="14"/>
        <w:tblW w:w="7980" w:type="dxa"/>
        <w:jc w:val="center"/>
        <w:tblLayout w:type="fixed"/>
        <w:tblCellMar>
          <w:top w:w="0" w:type="dxa"/>
          <w:left w:w="108" w:type="dxa"/>
          <w:bottom w:w="0" w:type="dxa"/>
          <w:right w:w="108" w:type="dxa"/>
        </w:tblCellMar>
      </w:tblPr>
      <w:tblGrid>
        <w:gridCol w:w="1701"/>
        <w:gridCol w:w="1383"/>
        <w:gridCol w:w="913"/>
        <w:gridCol w:w="1619"/>
        <w:gridCol w:w="1439"/>
        <w:gridCol w:w="925"/>
      </w:tblGrid>
      <w:tr>
        <w:tblPrEx>
          <w:tblCellMar>
            <w:top w:w="0" w:type="dxa"/>
            <w:left w:w="108" w:type="dxa"/>
            <w:bottom w:w="0" w:type="dxa"/>
            <w:right w:w="108" w:type="dxa"/>
          </w:tblCellMar>
        </w:tblPrEx>
        <w:trPr>
          <w:trHeight w:val="285" w:hRule="atLeast"/>
          <w:jc w:val="center"/>
        </w:trPr>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行业名称</w:t>
            </w:r>
          </w:p>
        </w:tc>
        <w:tc>
          <w:tcPr>
            <w:tcW w:w="1384"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指标名称</w:t>
            </w:r>
          </w:p>
        </w:tc>
        <w:tc>
          <w:tcPr>
            <w:tcW w:w="913"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计量单位</w:t>
            </w:r>
          </w:p>
        </w:tc>
        <w:tc>
          <w:tcPr>
            <w:tcW w:w="1620"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中型</w:t>
            </w:r>
          </w:p>
        </w:tc>
        <w:tc>
          <w:tcPr>
            <w:tcW w:w="1440"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小型</w:t>
            </w:r>
          </w:p>
        </w:tc>
        <w:tc>
          <w:tcPr>
            <w:tcW w:w="925"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微型</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农、林、牧、渔</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50≤Y＜500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工业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2000≤Y＜40000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建筑业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6000≤Y＜80000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300≤Y＜6000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5000≤Z＜80000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300≤Z＜5000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Z＜300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批发业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20≤X＜200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5≤X＜20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X＜5</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5000≤Y＜40000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零售业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10≤X＜50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100≤Y＜500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交通运输业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200≤Y＜3000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Y＜200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仓储业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100≤X＜200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邮政业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住宿业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餐饮业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信息传输业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100≤X＜2000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1000≤Y＜100000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软件和信息技术服务业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w:t>
            </w:r>
          </w:p>
        </w:tc>
      </w:tr>
      <w:tr>
        <w:tblPrEx>
          <w:tblCellMar>
            <w:top w:w="0" w:type="dxa"/>
            <w:left w:w="108" w:type="dxa"/>
            <w:bottom w:w="0" w:type="dxa"/>
            <w:right w:w="108" w:type="dxa"/>
          </w:tblCellMar>
        </w:tblPrEx>
        <w:trPr>
          <w:trHeight w:val="316"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房地产开发经营</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1000≤Y＜200000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5000≤Z＜10000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Y＜2000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物业管理</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1000≤Y＜5000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租赁和商务服务业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8000≤Z＜120000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100≤Z＜8000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其他未列明行业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bl>
    <w:p>
      <w:pPr>
        <w:spacing w:line="360" w:lineRule="auto"/>
        <w:ind w:firstLine="525" w:firstLineChars="25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说明：上述标准参照《关于印发中小企业划型标准规定的通知》（工信部联企业[2011]300号），大型、中型和小型企业须同时满足所列指标的下限，否则下划一档；微型企业只需满足所列指标中的一项即可。</w:t>
      </w:r>
    </w:p>
    <w:p>
      <w:r>
        <w:br w:type="page"/>
      </w:r>
    </w:p>
    <w:p>
      <w:pPr>
        <w:shd w:val="clear" w:color="auto" w:fill="auto"/>
        <w:spacing w:line="284" w:lineRule="auto"/>
        <w:jc w:val="both"/>
        <w:rPr>
          <w:rFonts w:hint="eastAsia" w:ascii="仿宋" w:hAnsi="仿宋" w:eastAsia="仿宋" w:cs="仿宋"/>
          <w:b/>
          <w:color w:val="auto"/>
          <w:sz w:val="24"/>
          <w:highlight w:val="none"/>
        </w:rPr>
      </w:pPr>
      <w:r>
        <w:rPr>
          <w:rFonts w:hint="eastAsia" w:ascii="仿宋" w:hAnsi="仿宋" w:eastAsia="仿宋" w:cs="仿宋"/>
          <w:b/>
          <w:color w:val="auto"/>
          <w:kern w:val="20"/>
          <w:sz w:val="24"/>
          <w:highlight w:val="none"/>
          <w:lang w:val="en-US" w:eastAsia="zh-CN"/>
        </w:rPr>
        <w:t>附件： 安全播出监测</w:t>
      </w:r>
      <w:r>
        <w:rPr>
          <w:rFonts w:hint="eastAsia" w:ascii="仿宋" w:hAnsi="仿宋" w:eastAsia="仿宋" w:cs="仿宋"/>
          <w:b/>
          <w:color w:val="auto"/>
          <w:kern w:val="20"/>
          <w:sz w:val="24"/>
          <w:highlight w:val="none"/>
        </w:rPr>
        <w:t>设备</w:t>
      </w:r>
      <w:r>
        <w:rPr>
          <w:rFonts w:hint="eastAsia" w:ascii="仿宋" w:hAnsi="仿宋" w:eastAsia="仿宋" w:cs="仿宋"/>
          <w:b/>
          <w:color w:val="auto"/>
          <w:sz w:val="24"/>
          <w:highlight w:val="none"/>
        </w:rPr>
        <w:t>安装地点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1957"/>
        <w:gridCol w:w="835"/>
        <w:gridCol w:w="854"/>
        <w:gridCol w:w="1236"/>
        <w:gridCol w:w="1049"/>
        <w:gridCol w:w="104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0" w:type="auto"/>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序号</w:t>
            </w:r>
          </w:p>
        </w:tc>
        <w:tc>
          <w:tcPr>
            <w:tcW w:w="0" w:type="auto"/>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台名</w:t>
            </w:r>
          </w:p>
        </w:tc>
        <w:tc>
          <w:tcPr>
            <w:tcW w:w="0" w:type="auto"/>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分中心</w:t>
            </w:r>
          </w:p>
        </w:tc>
        <w:tc>
          <w:tcPr>
            <w:tcW w:w="0" w:type="auto"/>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功率等级</w:t>
            </w:r>
          </w:p>
        </w:tc>
        <w:tc>
          <w:tcPr>
            <w:tcW w:w="0" w:type="auto"/>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规划频道（U/V）</w:t>
            </w:r>
          </w:p>
        </w:tc>
        <w:tc>
          <w:tcPr>
            <w:tcW w:w="0" w:type="auto"/>
            <w:gridSpan w:val="3"/>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广西地面数字电视安全播出监测系统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0" w:type="auto"/>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c>
          <w:tcPr>
            <w:tcW w:w="0" w:type="auto"/>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c>
          <w:tcPr>
            <w:tcW w:w="0" w:type="auto"/>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c>
          <w:tcPr>
            <w:tcW w:w="0" w:type="auto"/>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c>
          <w:tcPr>
            <w:tcW w:w="0" w:type="auto"/>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监测板（块）</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转码板（块）</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2"/>
                <w:sz w:val="18"/>
                <w:szCs w:val="18"/>
                <w:highlight w:val="none"/>
                <w:lang w:val="en-US" w:eastAsia="zh-CN" w:bidi="ar-SA"/>
              </w:rPr>
              <w:t>主控板（块）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0" w:type="auto"/>
            <w:noWrap w:val="0"/>
            <w:vAlign w:val="center"/>
          </w:tcPr>
          <w:p>
            <w:pPr>
              <w:keepNext w:val="0"/>
              <w:keepLines w:val="0"/>
              <w:pageBreakBefore w:val="0"/>
              <w:widowControl w:val="0"/>
              <w:shd w:val="clear" w:color="auto" w:fill="auto"/>
              <w:tabs>
                <w:tab w:val="center" w:pos="4153"/>
                <w:tab w:val="right" w:pos="8306"/>
              </w:tabs>
              <w:kinsoku/>
              <w:wordWrap/>
              <w:overflowPunct/>
              <w:topLinePunct w:val="0"/>
              <w:autoSpaceDE/>
              <w:autoSpaceDN/>
              <w:bidi w:val="0"/>
              <w:adjustRightInd/>
              <w:snapToGrid w:val="0"/>
              <w:spacing w:before="0" w:line="240" w:lineRule="auto"/>
              <w:ind w:left="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8</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广西壮族自治区广播电视局隆安微波台</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南宁分中 心</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300.00</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DS-13</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0" w:type="auto"/>
            <w:noWrap w:val="0"/>
            <w:vAlign w:val="center"/>
          </w:tcPr>
          <w:p>
            <w:pPr>
              <w:keepNext w:val="0"/>
              <w:keepLines w:val="0"/>
              <w:pageBreakBefore w:val="0"/>
              <w:widowControl w:val="0"/>
              <w:shd w:val="clear" w:color="auto" w:fill="auto"/>
              <w:tabs>
                <w:tab w:val="center" w:pos="4153"/>
                <w:tab w:val="right" w:pos="8306"/>
              </w:tabs>
              <w:kinsoku/>
              <w:wordWrap/>
              <w:overflowPunct/>
              <w:topLinePunct w:val="0"/>
              <w:autoSpaceDE/>
              <w:autoSpaceDN/>
              <w:bidi w:val="0"/>
              <w:adjustRightInd/>
              <w:snapToGrid w:val="0"/>
              <w:spacing w:before="0" w:line="240" w:lineRule="auto"/>
              <w:ind w:left="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12</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马山转播台</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南宁分中 心</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300.00</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DS-35</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0" w:type="auto"/>
            <w:noWrap w:val="0"/>
            <w:vAlign w:val="center"/>
          </w:tcPr>
          <w:p>
            <w:pPr>
              <w:keepNext w:val="0"/>
              <w:keepLines w:val="0"/>
              <w:pageBreakBefore w:val="0"/>
              <w:widowControl w:val="0"/>
              <w:shd w:val="clear" w:color="auto" w:fill="auto"/>
              <w:tabs>
                <w:tab w:val="center" w:pos="4153"/>
                <w:tab w:val="right" w:pos="8306"/>
              </w:tabs>
              <w:kinsoku/>
              <w:wordWrap/>
              <w:overflowPunct/>
              <w:topLinePunct w:val="0"/>
              <w:autoSpaceDE/>
              <w:autoSpaceDN/>
              <w:bidi w:val="0"/>
              <w:adjustRightInd/>
              <w:snapToGrid w:val="0"/>
              <w:spacing w:before="0" w:line="240" w:lineRule="auto"/>
              <w:ind w:left="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20</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上林转播台</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南宁分中 心</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300.00</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DS-10</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c>
          <w:tcPr>
            <w:tcW w:w="0" w:type="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r>
    </w:tbl>
    <w:p>
      <w:pPr>
        <w:pStyle w:val="1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E409BB"/>
    <w:multiLevelType w:val="multilevel"/>
    <w:tmpl w:val="24E409BB"/>
    <w:lvl w:ilvl="0" w:tentative="0">
      <w:start w:val="1"/>
      <w:numFmt w:val="decimal"/>
      <w:pStyle w:val="2"/>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OWYwYjczODY2MDg3OTAzY2ZjYTAxNDBlNjBlNzUifQ=="/>
  </w:docVars>
  <w:rsids>
    <w:rsidRoot w:val="2A1E10D9"/>
    <w:rsid w:val="01083B1B"/>
    <w:rsid w:val="018F2315"/>
    <w:rsid w:val="03215C6E"/>
    <w:rsid w:val="046E0498"/>
    <w:rsid w:val="05A33157"/>
    <w:rsid w:val="07AC73B9"/>
    <w:rsid w:val="093A7CD7"/>
    <w:rsid w:val="0B042AF3"/>
    <w:rsid w:val="0BCA6AEE"/>
    <w:rsid w:val="0E6007D1"/>
    <w:rsid w:val="0FB21319"/>
    <w:rsid w:val="10B77EEF"/>
    <w:rsid w:val="128D0FAD"/>
    <w:rsid w:val="156148A2"/>
    <w:rsid w:val="167A192F"/>
    <w:rsid w:val="18295812"/>
    <w:rsid w:val="184365B4"/>
    <w:rsid w:val="1A2218B6"/>
    <w:rsid w:val="1AE05C4C"/>
    <w:rsid w:val="1D093997"/>
    <w:rsid w:val="1F6A6A21"/>
    <w:rsid w:val="1FD9566D"/>
    <w:rsid w:val="25C0270C"/>
    <w:rsid w:val="26122A2E"/>
    <w:rsid w:val="295D1240"/>
    <w:rsid w:val="295D66C8"/>
    <w:rsid w:val="29903251"/>
    <w:rsid w:val="2A1E10D9"/>
    <w:rsid w:val="2C0B12BB"/>
    <w:rsid w:val="2C132439"/>
    <w:rsid w:val="2D697595"/>
    <w:rsid w:val="2D9A6C2B"/>
    <w:rsid w:val="2D9D5D07"/>
    <w:rsid w:val="3343509B"/>
    <w:rsid w:val="379478DD"/>
    <w:rsid w:val="379904DE"/>
    <w:rsid w:val="3A2068D8"/>
    <w:rsid w:val="3B232AC9"/>
    <w:rsid w:val="3B470344"/>
    <w:rsid w:val="3BD553B9"/>
    <w:rsid w:val="3E2F7CF0"/>
    <w:rsid w:val="3FD553CB"/>
    <w:rsid w:val="40AF0957"/>
    <w:rsid w:val="44345DAC"/>
    <w:rsid w:val="45121FCC"/>
    <w:rsid w:val="46B54148"/>
    <w:rsid w:val="46E2098A"/>
    <w:rsid w:val="49091651"/>
    <w:rsid w:val="4A0364DA"/>
    <w:rsid w:val="4B8120C8"/>
    <w:rsid w:val="4DD20D99"/>
    <w:rsid w:val="4E3F26A3"/>
    <w:rsid w:val="4FB46152"/>
    <w:rsid w:val="502B0E52"/>
    <w:rsid w:val="511A0E3B"/>
    <w:rsid w:val="52C6328A"/>
    <w:rsid w:val="536058F7"/>
    <w:rsid w:val="57623B4D"/>
    <w:rsid w:val="59421EFC"/>
    <w:rsid w:val="5B7C4B16"/>
    <w:rsid w:val="5BC51173"/>
    <w:rsid w:val="5DF6325F"/>
    <w:rsid w:val="5EF160DC"/>
    <w:rsid w:val="5FEF776C"/>
    <w:rsid w:val="61783DB1"/>
    <w:rsid w:val="6516685D"/>
    <w:rsid w:val="65631CF7"/>
    <w:rsid w:val="68AB2703"/>
    <w:rsid w:val="6AA3681D"/>
    <w:rsid w:val="6C354E34"/>
    <w:rsid w:val="6C7608AE"/>
    <w:rsid w:val="6C7A1518"/>
    <w:rsid w:val="6CB206CD"/>
    <w:rsid w:val="6EE45C18"/>
    <w:rsid w:val="73772751"/>
    <w:rsid w:val="739F177E"/>
    <w:rsid w:val="7696020F"/>
    <w:rsid w:val="7836409D"/>
    <w:rsid w:val="797309E8"/>
    <w:rsid w:val="79733675"/>
    <w:rsid w:val="79EF0DE2"/>
    <w:rsid w:val="7B932DAA"/>
    <w:rsid w:val="7F3F73E5"/>
    <w:rsid w:val="7FB81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customStyle="1" w:styleId="2">
    <w:name w:val="表名称"/>
    <w:basedOn w:val="3"/>
    <w:autoRedefine/>
    <w:qFormat/>
    <w:uiPriority w:val="0"/>
    <w:pPr>
      <w:numPr>
        <w:ilvl w:val="0"/>
        <w:numId w:val="1"/>
      </w:numPr>
      <w:tabs>
        <w:tab w:val="left" w:pos="360"/>
      </w:tabs>
      <w:spacing w:before="120" w:after="120"/>
      <w:ind w:left="0" w:firstLine="0"/>
      <w:jc w:val="center"/>
    </w:pPr>
    <w:rPr>
      <w:rFonts w:ascii="Calibri" w:hAnsi="Calibri"/>
    </w:rPr>
  </w:style>
  <w:style w:type="paragraph" w:styleId="3">
    <w:name w:val="Normal Indent"/>
    <w:basedOn w:val="1"/>
    <w:autoRedefine/>
    <w:qFormat/>
    <w:uiPriority w:val="0"/>
    <w:pPr>
      <w:widowControl/>
      <w:spacing w:line="360" w:lineRule="auto"/>
      <w:ind w:firstLine="420"/>
      <w:jc w:val="left"/>
    </w:pPr>
    <w:rPr>
      <w:rFonts w:ascii="宋体"/>
      <w:kern w:val="0"/>
      <w:szCs w:val="20"/>
    </w:rPr>
  </w:style>
  <w:style w:type="paragraph" w:styleId="6">
    <w:name w:val="Body Text"/>
    <w:basedOn w:val="1"/>
    <w:next w:val="1"/>
    <w:autoRedefine/>
    <w:qFormat/>
    <w:uiPriority w:val="0"/>
    <w:pPr>
      <w:spacing w:line="380" w:lineRule="exact"/>
    </w:pPr>
    <w:rPr>
      <w:kern w:val="0"/>
      <w:sz w:val="24"/>
    </w:rPr>
  </w:style>
  <w:style w:type="paragraph" w:styleId="7">
    <w:name w:val="Body Text Indent"/>
    <w:basedOn w:val="1"/>
    <w:next w:val="8"/>
    <w:qFormat/>
    <w:uiPriority w:val="0"/>
    <w:pPr>
      <w:spacing w:line="200" w:lineRule="exact"/>
      <w:ind w:firstLine="301"/>
    </w:pPr>
    <w:rPr>
      <w:rFonts w:ascii="宋体" w:hAnsi="Courier New"/>
      <w:spacing w:val="-4"/>
      <w:sz w:val="18"/>
      <w:szCs w:val="20"/>
    </w:rPr>
  </w:style>
  <w:style w:type="paragraph" w:styleId="8">
    <w:name w:val="envelope return"/>
    <w:basedOn w:val="1"/>
    <w:autoRedefine/>
    <w:qFormat/>
    <w:uiPriority w:val="0"/>
    <w:pPr>
      <w:widowControl/>
      <w:adjustRightInd w:val="0"/>
      <w:snapToGrid w:val="0"/>
      <w:spacing w:after="200"/>
      <w:jc w:val="left"/>
    </w:pPr>
    <w:rPr>
      <w:rFonts w:ascii="Arial" w:hAnsi="Arial" w:eastAsia="微软雅黑" w:cs="Times New Roman"/>
      <w:kern w:val="0"/>
      <w:sz w:val="22"/>
      <w:szCs w:val="22"/>
    </w:rPr>
  </w:style>
  <w:style w:type="paragraph" w:styleId="9">
    <w:name w:val="List 2"/>
    <w:basedOn w:val="1"/>
    <w:autoRedefine/>
    <w:qFormat/>
    <w:uiPriority w:val="0"/>
    <w:pPr>
      <w:ind w:left="100" w:leftChars="200" w:hanging="200" w:hangingChars="200"/>
    </w:pPr>
    <w:rPr>
      <w:sz w:val="28"/>
    </w:rPr>
  </w:style>
  <w:style w:type="paragraph" w:styleId="10">
    <w:name w:val="Plain Text"/>
    <w:basedOn w:val="1"/>
    <w:next w:val="5"/>
    <w:autoRedefine/>
    <w:qFormat/>
    <w:uiPriority w:val="0"/>
    <w:rPr>
      <w:rFonts w:ascii="宋体" w:hAnsi="Courier New"/>
      <w:szCs w:val="20"/>
    </w:rPr>
  </w:style>
  <w:style w:type="paragraph" w:styleId="11">
    <w:name w:val="footer"/>
    <w:basedOn w:val="1"/>
    <w:autoRedefine/>
    <w:unhideWhenUsed/>
    <w:qFormat/>
    <w:uiPriority w:val="0"/>
    <w:pPr>
      <w:tabs>
        <w:tab w:val="center" w:pos="4153"/>
        <w:tab w:val="right" w:pos="8306"/>
      </w:tabs>
      <w:snapToGrid w:val="0"/>
      <w:jc w:val="left"/>
    </w:pPr>
    <w:rPr>
      <w:kern w:val="0"/>
      <w:sz w:val="18"/>
      <w:szCs w:val="18"/>
    </w:rPr>
  </w:style>
  <w:style w:type="paragraph" w:styleId="12">
    <w:name w:val="Body Text First Indent"/>
    <w:basedOn w:val="6"/>
    <w:next w:val="1"/>
    <w:autoRedefine/>
    <w:qFormat/>
    <w:uiPriority w:val="0"/>
    <w:pPr>
      <w:ind w:firstLine="420" w:firstLineChars="100"/>
    </w:pPr>
    <w:rPr>
      <w:rFonts w:ascii="宋体" w:hAnsi="宋体" w:eastAsia="宋体" w:cs="Times New Roman"/>
      <w:szCs w:val="20"/>
    </w:rPr>
  </w:style>
  <w:style w:type="paragraph" w:styleId="13">
    <w:name w:val="Body Text First Indent 2"/>
    <w:basedOn w:val="7"/>
    <w:next w:val="12"/>
    <w:autoRedefine/>
    <w:qFormat/>
    <w:uiPriority w:val="99"/>
    <w:pPr>
      <w:spacing w:line="460" w:lineRule="exact"/>
      <w:ind w:firstLine="420" w:firstLineChars="200"/>
    </w:pPr>
    <w:rPr>
      <w:rFonts w:ascii="Calibri" w:hAnsi="Calibri" w:eastAsia="宋体" w:cs="Times New Roman"/>
      <w:spacing w:val="0"/>
      <w:sz w:val="21"/>
      <w:szCs w:val="22"/>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默认段落字体 Para Char Char Char Char Char Char Char Char Char1 Char Char Char Char"/>
    <w:basedOn w:val="1"/>
    <w:autoRedefine/>
    <w:qFormat/>
    <w:uiPriority w:val="0"/>
    <w:rPr>
      <w:rFonts w:ascii="Tahoma" w:hAnsi="Tahoma"/>
      <w:sz w:val="24"/>
      <w:szCs w:val="20"/>
    </w:rPr>
  </w:style>
  <w:style w:type="paragraph" w:styleId="19">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7068</Words>
  <Characters>7811</Characters>
  <Lines>0</Lines>
  <Paragraphs>0</Paragraphs>
  <TotalTime>1</TotalTime>
  <ScaleCrop>false</ScaleCrop>
  <LinksUpToDate>false</LinksUpToDate>
  <CharactersWithSpaces>8986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2023-04-19T03:30:00Z</dcterms:created>
  <dc:creator>PC</dc:creator>
  <cp:lastModifiedBy>骑士</cp:lastModifiedBy>
  <dcterms:modified xsi:type="dcterms:W3CDTF">2024-01-30T09:05:31Z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3F21B8F15D13429194ACE8F6A4FD621E_13</vt:lpwstr>
  </property>
</Properties>
</file>