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spacing w:val="80"/>
          <w:sz w:val="30"/>
        </w:rPr>
      </w:pPr>
    </w:p>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4"/>
        <w:ind w:left="842" w:hanging="422"/>
        <w:rPr>
          <w:rFonts w:ascii="宋体" w:hAnsi="宋体"/>
          <w:b/>
          <w:bCs/>
          <w:sz w:val="21"/>
          <w:szCs w:val="24"/>
        </w:rPr>
      </w:pPr>
      <w:bookmarkStart w:id="2" w:name="_Toc532545043"/>
      <w:r>
        <w:rPr>
          <w:rFonts w:hint="eastAsia" w:ascii="宋体" w:hAnsi="宋体"/>
          <w:b/>
          <w:bCs/>
          <w:sz w:val="21"/>
          <w:szCs w:val="24"/>
        </w:rPr>
        <w:t>说明：</w:t>
      </w:r>
    </w:p>
    <w:p>
      <w:pPr>
        <w:pStyle w:val="14"/>
        <w:ind w:left="420"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ind w:firstLine="843" w:firstLineChars="400"/>
        <w:rPr>
          <w:rFonts w:hint="eastAsia" w:eastAsia="宋体"/>
          <w:lang w:eastAsia="zh-CN"/>
        </w:rPr>
      </w:pPr>
      <w:r>
        <w:rPr>
          <w:rFonts w:hint="eastAsia" w:ascii="宋体" w:hAnsi="宋体"/>
          <w:b/>
          <w:bCs/>
        </w:rPr>
        <w:t>2、本次服务采购最高限价为人民币</w:t>
      </w:r>
      <w:r>
        <w:rPr>
          <w:rFonts w:hint="eastAsia" w:ascii="宋体" w:hAnsi="宋体"/>
          <w:b/>
          <w:bCs/>
          <w:color w:val="000000" w:themeColor="text1"/>
          <w:lang w:val="en-US" w:eastAsia="zh-CN"/>
          <w14:textFill>
            <w14:solidFill>
              <w14:schemeClr w14:val="tx1"/>
            </w14:solidFill>
          </w14:textFill>
        </w:rPr>
        <w:t>贰拾万元整</w:t>
      </w: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200000</w:t>
      </w:r>
      <w:r>
        <w:rPr>
          <w:rFonts w:hint="eastAsia" w:ascii="宋体" w:hAnsi="宋体"/>
          <w:b/>
          <w:bCs/>
          <w:color w:val="000000" w:themeColor="text1"/>
          <w14:textFill>
            <w14:solidFill>
              <w14:schemeClr w14:val="tx1"/>
            </w14:solidFill>
          </w14:textFill>
        </w:rPr>
        <w:t>.00元)。</w:t>
      </w:r>
    </w:p>
    <w:p>
      <w:pPr>
        <w:pStyle w:val="14"/>
        <w:ind w:firstLine="843" w:firstLineChars="4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w:t>
      </w:r>
      <w:r>
        <w:rPr>
          <w:rFonts w:hint="default" w:ascii="宋体" w:hAnsi="宋体" w:eastAsia="宋体"/>
          <w:b/>
          <w:bCs/>
          <w:sz w:val="21"/>
          <w:szCs w:val="24"/>
          <w:highlight w:val="none"/>
        </w:rPr>
        <w:t>信息传输业</w:t>
      </w:r>
      <w:r>
        <w:rPr>
          <w:rFonts w:hint="eastAsia" w:ascii="宋体" w:hAnsi="宋体" w:eastAsia="宋体"/>
          <w:b/>
          <w:bCs/>
          <w:sz w:val="21"/>
          <w:szCs w:val="24"/>
          <w:highlight w:val="none"/>
          <w:lang w:eastAsia="zh-CN"/>
        </w:rPr>
        <w:t>。</w:t>
      </w:r>
    </w:p>
    <w:p>
      <w:pPr>
        <w:pStyle w:val="8"/>
        <w:jc w:val="center"/>
        <w:rPr>
          <w:rFonts w:hint="eastAsia"/>
          <w:b/>
          <w:bCs/>
        </w:rPr>
      </w:pPr>
    </w:p>
    <w:p>
      <w:pPr>
        <w:pStyle w:val="8"/>
        <w:ind w:firstLine="632" w:firstLineChars="300"/>
        <w:jc w:val="both"/>
        <w:rPr>
          <w:rFonts w:hint="eastAsia" w:eastAsia="宋体"/>
          <w:b/>
          <w:bCs/>
          <w:highlight w:val="none"/>
          <w:lang w:eastAsia="zh-CN"/>
        </w:rPr>
      </w:pPr>
      <w:r>
        <w:rPr>
          <w:rFonts w:hint="eastAsia"/>
          <w:b/>
          <w:bCs/>
          <w:highlight w:val="none"/>
          <w:lang w:val="en-US" w:eastAsia="zh-CN"/>
        </w:rPr>
        <w:t>项目名称：</w:t>
      </w:r>
      <w:r>
        <w:rPr>
          <w:rFonts w:hint="eastAsia"/>
          <w:b/>
          <w:bCs/>
          <w:highlight w:val="none"/>
        </w:rPr>
        <w:t>南宁广播电视台</w:t>
      </w:r>
      <w:r>
        <w:rPr>
          <w:rFonts w:hint="eastAsia"/>
          <w:b/>
          <w:bCs/>
          <w:highlight w:val="none"/>
          <w:lang w:val="en-US" w:eastAsia="zh-CN"/>
        </w:rPr>
        <w:t>内容分发网络（CDN）服务采购项目</w:t>
      </w:r>
    </w:p>
    <w:tbl>
      <w:tblPr>
        <w:tblStyle w:val="19"/>
        <w:tblpPr w:leftFromText="180" w:rightFromText="180" w:vertAnchor="text" w:horzAnchor="page" w:tblpX="1614" w:tblpY="349"/>
        <w:tblOverlap w:val="never"/>
        <w:tblW w:w="8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0"/>
        <w:gridCol w:w="894"/>
        <w:gridCol w:w="492"/>
        <w:gridCol w:w="540"/>
        <w:gridCol w:w="64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490" w:type="dxa"/>
            <w:noWrap w:val="0"/>
            <w:vAlign w:val="center"/>
          </w:tcPr>
          <w:p>
            <w:pPr>
              <w:tabs>
                <w:tab w:val="left" w:pos="1440"/>
              </w:tabs>
              <w:spacing w:line="400" w:lineRule="exact"/>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序号</w:t>
            </w:r>
          </w:p>
        </w:tc>
        <w:tc>
          <w:tcPr>
            <w:tcW w:w="894" w:type="dxa"/>
            <w:noWrap w:val="0"/>
            <w:vAlign w:val="center"/>
          </w:tcPr>
          <w:p>
            <w:pPr>
              <w:tabs>
                <w:tab w:val="left" w:pos="1440"/>
              </w:tabs>
              <w:spacing w:line="400" w:lineRule="exact"/>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名称</w:t>
            </w:r>
          </w:p>
        </w:tc>
        <w:tc>
          <w:tcPr>
            <w:tcW w:w="492" w:type="dxa"/>
            <w:noWrap w:val="0"/>
            <w:vAlign w:val="center"/>
          </w:tcPr>
          <w:p>
            <w:pPr>
              <w:tabs>
                <w:tab w:val="left" w:pos="1440"/>
              </w:tabs>
              <w:spacing w:line="400" w:lineRule="exact"/>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数量</w:t>
            </w:r>
          </w:p>
        </w:tc>
        <w:tc>
          <w:tcPr>
            <w:tcW w:w="540" w:type="dxa"/>
            <w:noWrap w:val="0"/>
            <w:vAlign w:val="center"/>
          </w:tcPr>
          <w:p>
            <w:pPr>
              <w:tabs>
                <w:tab w:val="left" w:pos="1440"/>
              </w:tabs>
              <w:spacing w:line="400" w:lineRule="exact"/>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单位</w:t>
            </w:r>
          </w:p>
        </w:tc>
        <w:tc>
          <w:tcPr>
            <w:tcW w:w="6443" w:type="dxa"/>
            <w:noWrap w:val="0"/>
            <w:vAlign w:val="center"/>
          </w:tcPr>
          <w:p>
            <w:pPr>
              <w:tabs>
                <w:tab w:val="left" w:pos="1440"/>
              </w:tabs>
              <w:spacing w:line="400" w:lineRule="exact"/>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服务内容及要求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7" w:hRule="atLeast"/>
        </w:trPr>
        <w:tc>
          <w:tcPr>
            <w:tcW w:w="490" w:type="dxa"/>
            <w:noWrap w:val="0"/>
            <w:vAlign w:val="center"/>
          </w:tcPr>
          <w:p>
            <w:pPr>
              <w:widowControl/>
              <w:jc w:val="center"/>
              <w:rPr>
                <w:rFonts w:ascii="宋体" w:hAnsi="宋体" w:cs="宋体"/>
                <w:bCs/>
                <w:kern w:val="0"/>
                <w:szCs w:val="21"/>
                <w:highlight w:val="none"/>
              </w:rPr>
            </w:pPr>
            <w:r>
              <w:rPr>
                <w:rFonts w:hint="eastAsia" w:ascii="宋体" w:hAnsi="宋体" w:cs="宋体"/>
                <w:bCs/>
                <w:kern w:val="0"/>
                <w:szCs w:val="21"/>
                <w:highlight w:val="none"/>
              </w:rPr>
              <w:t>1</w:t>
            </w:r>
          </w:p>
        </w:tc>
        <w:tc>
          <w:tcPr>
            <w:tcW w:w="894" w:type="dxa"/>
            <w:noWrap w:val="0"/>
            <w:vAlign w:val="center"/>
          </w:tcPr>
          <w:p>
            <w:pPr>
              <w:widowControl/>
              <w:jc w:val="center"/>
              <w:rPr>
                <w:rFonts w:hint="default" w:ascii="宋体" w:hAnsi="宋体" w:eastAsia="宋体" w:cs="宋体"/>
                <w:kern w:val="0"/>
                <w:szCs w:val="21"/>
                <w:highlight w:val="none"/>
                <w:lang w:val="en-US" w:eastAsia="zh-Hans"/>
              </w:rPr>
            </w:pPr>
            <w:r>
              <w:rPr>
                <w:rFonts w:hint="eastAsia"/>
                <w:b/>
                <w:bCs/>
                <w:highlight w:val="none"/>
                <w:lang w:val="en-US" w:eastAsia="zh-CN"/>
              </w:rPr>
              <w:t>内容分发网络（CDN）服务</w:t>
            </w:r>
          </w:p>
        </w:tc>
        <w:tc>
          <w:tcPr>
            <w:tcW w:w="492"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w:t>
            </w:r>
          </w:p>
        </w:tc>
        <w:tc>
          <w:tcPr>
            <w:tcW w:w="540"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月</w:t>
            </w:r>
          </w:p>
        </w:tc>
        <w:tc>
          <w:tcPr>
            <w:tcW w:w="6443" w:type="dxa"/>
            <w:noWrap w:val="0"/>
            <w:vAlign w:val="center"/>
          </w:tcPr>
          <w:p>
            <w:pPr>
              <w:pStyle w:val="8"/>
              <w:spacing w:line="360" w:lineRule="auto"/>
              <w:rPr>
                <w:rFonts w:hint="eastAsia"/>
                <w:highlight w:val="none"/>
                <w:lang w:val="en-US" w:eastAsia="zh-CN"/>
              </w:rPr>
            </w:pPr>
            <w:r>
              <w:rPr>
                <w:rFonts w:hint="eastAsia"/>
                <w:highlight w:val="none"/>
                <w:lang w:val="en-US" w:eastAsia="zh-CN"/>
              </w:rPr>
              <w:t>1、CDN节点覆盖能力：全球不少于2800个节点，国内不少于2000个节点；覆盖国内各省市地区的中国电信、中国联通、中国移动、中国铁通、几十家中小运营商，覆盖海外不少于70个国家和地区。</w:t>
            </w:r>
          </w:p>
          <w:p>
            <w:pPr>
              <w:pStyle w:val="8"/>
              <w:spacing w:line="360" w:lineRule="auto"/>
              <w:rPr>
                <w:rFonts w:hint="eastAsia"/>
                <w:highlight w:val="none"/>
                <w:lang w:val="en-US" w:eastAsia="zh-CN"/>
              </w:rPr>
            </w:pPr>
            <w:r>
              <w:rPr>
                <w:rFonts w:hint="eastAsia"/>
                <w:highlight w:val="none"/>
                <w:lang w:val="en-US" w:eastAsia="zh-CN"/>
              </w:rPr>
              <w:t>2、CDN带宽能力：国内带宽储备不低于150T，海外总带宽资源不低于8Tbps，提供至少2Tbps的备用带宽，以应对突发的流量增长。</w:t>
            </w:r>
          </w:p>
          <w:p>
            <w:pPr>
              <w:pStyle w:val="9"/>
              <w:spacing w:line="360"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3、广西区内CDN能力：广西区内</w:t>
            </w:r>
            <w:r>
              <w:rPr>
                <w:rFonts w:hint="eastAsia" w:ascii="Times New Roman" w:hAnsi="Times New Roman" w:cs="Times New Roman"/>
                <w:color w:val="auto"/>
                <w:kern w:val="2"/>
                <w:sz w:val="21"/>
                <w:szCs w:val="24"/>
                <w:lang w:val="en-US" w:eastAsia="zh-CN" w:bidi="ar-SA"/>
              </w:rPr>
              <w:t>CDN</w:t>
            </w:r>
            <w:r>
              <w:rPr>
                <w:rFonts w:hint="eastAsia" w:ascii="Times New Roman" w:hAnsi="Times New Roman" w:eastAsia="宋体" w:cs="Times New Roman"/>
                <w:color w:val="auto"/>
                <w:kern w:val="2"/>
                <w:sz w:val="21"/>
                <w:szCs w:val="24"/>
                <w:lang w:val="en-US" w:eastAsia="zh-CN" w:bidi="ar-SA"/>
              </w:rPr>
              <w:t>带宽</w:t>
            </w:r>
            <w:r>
              <w:rPr>
                <w:rFonts w:hint="eastAsia" w:ascii="Times New Roman" w:hAnsi="Times New Roman" w:cs="Times New Roman"/>
                <w:color w:val="auto"/>
                <w:kern w:val="2"/>
                <w:sz w:val="21"/>
                <w:szCs w:val="24"/>
                <w:lang w:val="en-US" w:eastAsia="zh-CN" w:bidi="ar-SA"/>
              </w:rPr>
              <w:t>不低于</w:t>
            </w:r>
            <w:r>
              <w:rPr>
                <w:rFonts w:hint="eastAsia" w:ascii="Times New Roman" w:hAnsi="Times New Roman" w:eastAsia="宋体" w:cs="Times New Roman"/>
                <w:color w:val="auto"/>
                <w:kern w:val="2"/>
                <w:sz w:val="21"/>
                <w:szCs w:val="24"/>
                <w:lang w:val="en-US" w:eastAsia="zh-CN" w:bidi="ar-SA"/>
              </w:rPr>
              <w:t>17.6Tbps</w:t>
            </w:r>
            <w:r>
              <w:rPr>
                <w:rFonts w:hint="eastAsia" w:ascii="Times New Roman" w:hAnsi="Times New Roman" w:cs="Times New Roman"/>
                <w:color w:val="auto"/>
                <w:kern w:val="2"/>
                <w:sz w:val="21"/>
                <w:szCs w:val="24"/>
                <w:lang w:val="en-US" w:eastAsia="zh-CN" w:bidi="ar-SA"/>
              </w:rPr>
              <w:t>，CDN</w:t>
            </w:r>
            <w:r>
              <w:rPr>
                <w:rFonts w:hint="eastAsia" w:ascii="Times New Roman" w:hAnsi="Times New Roman" w:eastAsia="宋体" w:cs="Times New Roman"/>
                <w:color w:val="auto"/>
                <w:kern w:val="2"/>
                <w:sz w:val="21"/>
                <w:szCs w:val="24"/>
                <w:lang w:val="en-US" w:eastAsia="zh-CN" w:bidi="ar-SA"/>
              </w:rPr>
              <w:t>节点</w:t>
            </w:r>
            <w:r>
              <w:rPr>
                <w:rFonts w:hint="eastAsia" w:ascii="Times New Roman" w:hAnsi="Times New Roman" w:cs="Times New Roman"/>
                <w:color w:val="auto"/>
                <w:kern w:val="2"/>
                <w:sz w:val="21"/>
                <w:szCs w:val="24"/>
                <w:lang w:val="en-US" w:eastAsia="zh-CN" w:bidi="ar-SA"/>
              </w:rPr>
              <w:t>数量不低于</w:t>
            </w:r>
            <w:r>
              <w:rPr>
                <w:rFonts w:hint="eastAsia" w:ascii="Times New Roman" w:hAnsi="Times New Roman" w:eastAsia="宋体" w:cs="Times New Roman"/>
                <w:color w:val="auto"/>
                <w:kern w:val="2"/>
                <w:sz w:val="21"/>
                <w:szCs w:val="24"/>
                <w:lang w:val="en-US" w:eastAsia="zh-CN" w:bidi="ar-SA"/>
              </w:rPr>
              <w:t>73个，节点</w:t>
            </w:r>
            <w:r>
              <w:rPr>
                <w:rFonts w:hint="eastAsia" w:ascii="Times New Roman" w:hAnsi="Times New Roman" w:cs="Times New Roman"/>
                <w:color w:val="auto"/>
                <w:kern w:val="2"/>
                <w:sz w:val="21"/>
                <w:szCs w:val="24"/>
                <w:lang w:val="en-US" w:eastAsia="zh-CN" w:bidi="ar-SA"/>
              </w:rPr>
              <w:t>需</w:t>
            </w:r>
            <w:r>
              <w:rPr>
                <w:rFonts w:hint="eastAsia" w:ascii="Times New Roman" w:hAnsi="Times New Roman" w:eastAsia="宋体" w:cs="Times New Roman"/>
                <w:color w:val="auto"/>
                <w:kern w:val="2"/>
                <w:sz w:val="21"/>
                <w:szCs w:val="24"/>
                <w:lang w:val="en-US" w:eastAsia="zh-CN" w:bidi="ar-SA"/>
              </w:rPr>
              <w:t>分布全区14个地市，覆盖县份</w:t>
            </w:r>
            <w:r>
              <w:rPr>
                <w:rFonts w:hint="eastAsia" w:ascii="Times New Roman" w:hAnsi="Times New Roman" w:cs="Times New Roman"/>
                <w:color w:val="auto"/>
                <w:kern w:val="2"/>
                <w:sz w:val="21"/>
                <w:szCs w:val="24"/>
                <w:lang w:val="en-US" w:eastAsia="zh-CN" w:bidi="ar-SA"/>
              </w:rPr>
              <w:t>数量不低于</w:t>
            </w:r>
            <w:r>
              <w:rPr>
                <w:rFonts w:hint="eastAsia" w:ascii="Times New Roman" w:hAnsi="Times New Roman" w:eastAsia="宋体" w:cs="Times New Roman"/>
                <w:color w:val="auto"/>
                <w:kern w:val="2"/>
                <w:sz w:val="21"/>
                <w:szCs w:val="24"/>
                <w:lang w:val="en-US" w:eastAsia="zh-CN" w:bidi="ar-SA"/>
              </w:rPr>
              <w:t>55个。</w:t>
            </w:r>
          </w:p>
          <w:p>
            <w:pPr>
              <w:spacing w:line="360" w:lineRule="auto"/>
              <w:rPr>
                <w:rFonts w:hint="eastAsia"/>
                <w:lang w:eastAsia="zh-CN"/>
              </w:rPr>
            </w:pPr>
            <w:r>
              <w:rPr>
                <w:rFonts w:hint="eastAsia"/>
                <w:lang w:val="en-US" w:eastAsia="zh-CN"/>
              </w:rPr>
              <w:t>4、提供</w:t>
            </w:r>
            <w:r>
              <w:rPr>
                <w:rFonts w:hint="eastAsia"/>
              </w:rPr>
              <w:t>网站加速功能</w:t>
            </w:r>
            <w:r>
              <w:rPr>
                <w:rFonts w:hint="eastAsia"/>
                <w:lang w:eastAsia="zh-CN"/>
              </w:rPr>
              <w:t>：</w:t>
            </w:r>
          </w:p>
          <w:p>
            <w:pPr>
              <w:spacing w:line="360" w:lineRule="auto"/>
              <w:rPr>
                <w:rFonts w:hint="eastAsia"/>
                <w:lang w:val="en-US" w:eastAsia="zh-CN"/>
              </w:rPr>
            </w:pPr>
            <w:r>
              <w:rPr>
                <w:rFonts w:hint="eastAsia"/>
              </w:rPr>
              <w:t xml:space="preserve">   支持多种静态对象</w:t>
            </w:r>
            <w:r>
              <w:rPr>
                <w:rFonts w:hint="eastAsia"/>
                <w:lang w:val="en-US" w:eastAsia="zh-CN"/>
              </w:rPr>
              <w:t>加速</w:t>
            </w:r>
          </w:p>
          <w:p>
            <w:pPr>
              <w:spacing w:line="360" w:lineRule="auto"/>
              <w:rPr>
                <w:rFonts w:hint="eastAsia"/>
              </w:rPr>
            </w:pPr>
            <w:r>
              <w:rPr>
                <w:rFonts w:hint="eastAsia"/>
              </w:rPr>
              <w:t xml:space="preserve">   −  文本：HTML、XML、xHTML、JS、CSS、DOC、PDF、TXT、IMG等；</w:t>
            </w:r>
          </w:p>
          <w:p>
            <w:pPr>
              <w:spacing w:line="360" w:lineRule="auto"/>
              <w:rPr>
                <w:rFonts w:hint="eastAsia"/>
              </w:rPr>
            </w:pPr>
            <w:r>
              <w:rPr>
                <w:rFonts w:hint="eastAsia"/>
              </w:rPr>
              <w:t xml:space="preserve">   −  图像：JPG、PNG、GIF等；</w:t>
            </w:r>
          </w:p>
          <w:p>
            <w:pPr>
              <w:spacing w:line="360" w:lineRule="auto"/>
              <w:rPr>
                <w:rFonts w:hint="eastAsia"/>
              </w:rPr>
            </w:pPr>
            <w:r>
              <w:rPr>
                <w:rFonts w:hint="eastAsia"/>
              </w:rPr>
              <w:t xml:space="preserve">   支持HTTPS证书双向认证，在支持客户端证书认证同时，也支持服务端证书认证，确保网站业务安全性。</w:t>
            </w:r>
          </w:p>
          <w:p>
            <w:pPr>
              <w:spacing w:line="360" w:lineRule="auto"/>
              <w:rPr>
                <w:rFonts w:hint="eastAsia"/>
              </w:rPr>
            </w:pPr>
            <w:r>
              <w:rPr>
                <w:rFonts w:hint="eastAsia"/>
              </w:rPr>
              <w:t xml:space="preserve">   缓存策略设置</w:t>
            </w:r>
          </w:p>
          <w:p>
            <w:pPr>
              <w:spacing w:line="360" w:lineRule="auto"/>
              <w:rPr>
                <w:rFonts w:hint="eastAsia"/>
              </w:rPr>
            </w:pPr>
            <w:r>
              <w:rPr>
                <w:rFonts w:hint="eastAsia"/>
              </w:rPr>
              <w:t xml:space="preserve">     −  支持HTTP/1.0，HTTP/1.1 协议定义的缓存字段</w:t>
            </w:r>
          </w:p>
          <w:p>
            <w:pPr>
              <w:spacing w:line="360" w:lineRule="auto"/>
              <w:rPr>
                <w:rFonts w:hint="eastAsia"/>
              </w:rPr>
            </w:pPr>
            <w:r>
              <w:rPr>
                <w:rFonts w:hint="eastAsia"/>
              </w:rPr>
              <w:t xml:space="preserve">     −  支持对特定对象的缓存周期设置</w:t>
            </w:r>
          </w:p>
          <w:p>
            <w:pPr>
              <w:spacing w:line="360" w:lineRule="auto"/>
              <w:rPr>
                <w:rFonts w:hint="eastAsia"/>
              </w:rPr>
            </w:pPr>
            <w:r>
              <w:rPr>
                <w:rFonts w:hint="eastAsia"/>
              </w:rPr>
              <w:t xml:space="preserve">     −  支持本地设置优于源站设定</w:t>
            </w:r>
          </w:p>
          <w:p>
            <w:pPr>
              <w:spacing w:line="360" w:lineRule="auto"/>
              <w:rPr>
                <w:rFonts w:hint="eastAsia"/>
              </w:rPr>
            </w:pPr>
            <w:r>
              <w:rPr>
                <w:rFonts w:hint="eastAsia"/>
              </w:rPr>
              <w:t xml:space="preserve">   支持HTTP2.0加速、回源HTTPS加速</w:t>
            </w:r>
          </w:p>
          <w:p>
            <w:pPr>
              <w:spacing w:line="360" w:lineRule="auto"/>
              <w:rPr>
                <w:rFonts w:hint="eastAsia"/>
              </w:rPr>
            </w:pPr>
            <w:r>
              <w:rPr>
                <w:rFonts w:hint="eastAsia"/>
              </w:rPr>
              <w:t xml:space="preserve">   支持全站加速</w:t>
            </w:r>
          </w:p>
          <w:p>
            <w:pPr>
              <w:spacing w:line="360" w:lineRule="auto"/>
              <w:rPr>
                <w:rFonts w:hint="eastAsia"/>
              </w:rPr>
            </w:pPr>
            <w:r>
              <w:rPr>
                <w:rFonts w:hint="eastAsia"/>
              </w:rPr>
              <w:t xml:space="preserve">   支持全链路、半程HTTPS加速方式</w:t>
            </w:r>
          </w:p>
          <w:p>
            <w:pPr>
              <w:spacing w:line="360" w:lineRule="auto"/>
              <w:rPr>
                <w:rFonts w:hint="eastAsia"/>
              </w:rPr>
            </w:pPr>
            <w:r>
              <w:rPr>
                <w:rFonts w:hint="eastAsia"/>
                <w:lang w:val="en-US" w:eastAsia="zh-CN"/>
              </w:rPr>
              <w:t>5、提供</w:t>
            </w:r>
            <w:r>
              <w:rPr>
                <w:rFonts w:hint="eastAsia"/>
              </w:rPr>
              <w:t>下载加速功能</w:t>
            </w:r>
          </w:p>
          <w:p>
            <w:pPr>
              <w:spacing w:line="360" w:lineRule="auto"/>
              <w:rPr>
                <w:rFonts w:hint="eastAsia"/>
              </w:rPr>
            </w:pPr>
            <w:r>
              <w:rPr>
                <w:rFonts w:hint="eastAsia"/>
              </w:rPr>
              <w:t xml:space="preserve">   支持内容下载防盗链</w:t>
            </w:r>
          </w:p>
          <w:p>
            <w:pPr>
              <w:spacing w:line="360" w:lineRule="auto"/>
              <w:rPr>
                <w:rFonts w:hint="eastAsia"/>
              </w:rPr>
            </w:pPr>
            <w:r>
              <w:rPr>
                <w:rFonts w:hint="eastAsia"/>
              </w:rPr>
              <w:t xml:space="preserve">   分层回源，带宽充足</w:t>
            </w:r>
          </w:p>
          <w:p>
            <w:pPr>
              <w:spacing w:line="360" w:lineRule="auto"/>
              <w:rPr>
                <w:rFonts w:hint="eastAsia"/>
              </w:rPr>
            </w:pPr>
            <w:r>
              <w:rPr>
                <w:rFonts w:hint="eastAsia"/>
              </w:rPr>
              <w:t xml:space="preserve">   支持基于HTTP协议传输的大文件缓存下载功能</w:t>
            </w:r>
          </w:p>
          <w:p>
            <w:pPr>
              <w:spacing w:line="360" w:lineRule="auto"/>
              <w:rPr>
                <w:rFonts w:hint="eastAsia"/>
              </w:rPr>
            </w:pPr>
            <w:r>
              <w:rPr>
                <w:rFonts w:hint="eastAsia"/>
              </w:rPr>
              <w:t xml:space="preserve">   缓存功能</w:t>
            </w:r>
          </w:p>
          <w:p>
            <w:pPr>
              <w:spacing w:line="360" w:lineRule="auto"/>
              <w:rPr>
                <w:rFonts w:hint="eastAsia"/>
              </w:rPr>
            </w:pPr>
            <w:r>
              <w:rPr>
                <w:rFonts w:hint="eastAsia"/>
              </w:rPr>
              <w:t xml:space="preserve">     −  边下载边服务功能</w:t>
            </w:r>
          </w:p>
          <w:p>
            <w:pPr>
              <w:spacing w:line="360" w:lineRule="auto"/>
              <w:rPr>
                <w:rFonts w:hint="eastAsia"/>
              </w:rPr>
            </w:pPr>
            <w:r>
              <w:rPr>
                <w:rFonts w:hint="eastAsia"/>
              </w:rPr>
              <w:t xml:space="preserve">     −  资源分片缓存功能</w:t>
            </w:r>
          </w:p>
          <w:p>
            <w:pPr>
              <w:spacing w:line="360" w:lineRule="auto"/>
              <w:rPr>
                <w:rFonts w:hint="eastAsia"/>
              </w:rPr>
            </w:pPr>
            <w:r>
              <w:rPr>
                <w:rFonts w:hint="eastAsia"/>
              </w:rPr>
              <w:t xml:space="preserve">     −  内容缓存去重功能</w:t>
            </w:r>
          </w:p>
          <w:p>
            <w:pPr>
              <w:spacing w:line="360" w:lineRule="auto"/>
              <w:rPr>
                <w:rFonts w:hint="eastAsia"/>
              </w:rPr>
            </w:pPr>
            <w:r>
              <w:rPr>
                <w:rFonts w:hint="eastAsia"/>
              </w:rPr>
              <w:t xml:space="preserve">     −  内容预热刷新功能</w:t>
            </w:r>
          </w:p>
          <w:p>
            <w:pPr>
              <w:spacing w:line="360" w:lineRule="auto"/>
              <w:rPr>
                <w:rFonts w:hint="eastAsia"/>
              </w:rPr>
            </w:pPr>
            <w:r>
              <w:rPr>
                <w:rFonts w:hint="eastAsia"/>
                <w:lang w:val="en-US" w:eastAsia="zh-CN"/>
              </w:rPr>
              <w:t>6、提供</w:t>
            </w:r>
            <w:r>
              <w:rPr>
                <w:rFonts w:hint="eastAsia"/>
              </w:rPr>
              <w:t>点播加速功能</w:t>
            </w:r>
          </w:p>
          <w:p>
            <w:pPr>
              <w:spacing w:line="360" w:lineRule="auto"/>
              <w:rPr>
                <w:rFonts w:hint="eastAsia"/>
              </w:rPr>
            </w:pPr>
            <w:r>
              <w:rPr>
                <w:rFonts w:hint="eastAsia"/>
              </w:rPr>
              <w:t xml:space="preserve">   多协议多码率点播加速功能</w:t>
            </w:r>
          </w:p>
          <w:p>
            <w:pPr>
              <w:spacing w:line="360" w:lineRule="auto"/>
              <w:rPr>
                <w:rFonts w:hint="eastAsia"/>
              </w:rPr>
            </w:pPr>
            <w:r>
              <w:rPr>
                <w:rFonts w:hint="eastAsia"/>
              </w:rPr>
              <w:t xml:space="preserve">   支持定制防盗链</w:t>
            </w:r>
          </w:p>
          <w:p>
            <w:pPr>
              <w:spacing w:line="360" w:lineRule="auto"/>
              <w:rPr>
                <w:rFonts w:hint="eastAsia"/>
              </w:rPr>
            </w:pPr>
            <w:r>
              <w:rPr>
                <w:rFonts w:hint="eastAsia"/>
              </w:rPr>
              <w:t xml:space="preserve">   支持分层回源，带宽充足，支持回源带宽和回源请求数控制，最大程度降低源站出口带宽成本</w:t>
            </w:r>
          </w:p>
          <w:p>
            <w:pPr>
              <w:spacing w:line="360" w:lineRule="auto"/>
              <w:rPr>
                <w:rFonts w:hint="eastAsia"/>
              </w:rPr>
            </w:pPr>
            <w:r>
              <w:rPr>
                <w:rFonts w:hint="eastAsia"/>
              </w:rPr>
              <w:t xml:space="preserve">   缓存功能</w:t>
            </w:r>
          </w:p>
          <w:p>
            <w:pPr>
              <w:spacing w:line="360" w:lineRule="auto"/>
              <w:rPr>
                <w:rFonts w:hint="eastAsia"/>
              </w:rPr>
            </w:pPr>
            <w:r>
              <w:rPr>
                <w:rFonts w:hint="eastAsia"/>
              </w:rPr>
              <w:t xml:space="preserve">     −  边下载边服务功能</w:t>
            </w:r>
          </w:p>
          <w:p>
            <w:pPr>
              <w:spacing w:line="360" w:lineRule="auto"/>
              <w:rPr>
                <w:rFonts w:hint="eastAsia"/>
              </w:rPr>
            </w:pPr>
            <w:r>
              <w:rPr>
                <w:rFonts w:hint="eastAsia"/>
              </w:rPr>
              <w:t xml:space="preserve">     −  资源分片缓存功能</w:t>
            </w:r>
          </w:p>
          <w:p>
            <w:pPr>
              <w:spacing w:line="360" w:lineRule="auto"/>
              <w:rPr>
                <w:rFonts w:hint="eastAsia"/>
              </w:rPr>
            </w:pPr>
            <w:r>
              <w:rPr>
                <w:rFonts w:hint="eastAsia"/>
              </w:rPr>
              <w:t xml:space="preserve">     −  内容缓存去重功能</w:t>
            </w:r>
          </w:p>
          <w:p>
            <w:pPr>
              <w:spacing w:line="360" w:lineRule="auto"/>
              <w:rPr>
                <w:rFonts w:hint="eastAsia"/>
              </w:rPr>
            </w:pPr>
            <w:r>
              <w:rPr>
                <w:rFonts w:hint="eastAsia"/>
              </w:rPr>
              <w:t xml:space="preserve">     −  内容预热刷新功能</w:t>
            </w:r>
          </w:p>
          <w:p>
            <w:pPr>
              <w:spacing w:line="360" w:lineRule="auto"/>
              <w:rPr>
                <w:rFonts w:hint="eastAsia"/>
              </w:rPr>
            </w:pPr>
            <w:r>
              <w:rPr>
                <w:rFonts w:hint="eastAsia"/>
              </w:rPr>
              <w:t xml:space="preserve">   支持防盗链、IP黑白名单、URL鉴权、远程鉴权等多种访问控制方案</w:t>
            </w:r>
          </w:p>
          <w:p>
            <w:pPr>
              <w:spacing w:line="360" w:lineRule="auto"/>
              <w:rPr>
                <w:rFonts w:hint="eastAsia"/>
              </w:rPr>
            </w:pPr>
            <w:r>
              <w:rPr>
                <w:rFonts w:hint="eastAsia"/>
                <w:lang w:val="en-US" w:eastAsia="zh-CN"/>
              </w:rPr>
              <w:t>7、提供</w:t>
            </w:r>
            <w:r>
              <w:rPr>
                <w:rFonts w:hint="eastAsia"/>
              </w:rPr>
              <w:t>直播加速功能</w:t>
            </w:r>
          </w:p>
          <w:p>
            <w:pPr>
              <w:spacing w:line="360" w:lineRule="auto"/>
              <w:rPr>
                <w:rFonts w:hint="eastAsia"/>
              </w:rPr>
            </w:pPr>
            <w:r>
              <w:rPr>
                <w:rFonts w:hint="eastAsia"/>
              </w:rPr>
              <w:t xml:space="preserve">   支持RTMP协议推流，支持RTMP/HTTP-FLV/HLS/WebRTC等播放协议。</w:t>
            </w:r>
          </w:p>
          <w:p>
            <w:pPr>
              <w:spacing w:line="360" w:lineRule="auto"/>
              <w:rPr>
                <w:rFonts w:hint="eastAsia"/>
              </w:rPr>
            </w:pPr>
            <w:r>
              <w:rPr>
                <w:rFonts w:hint="eastAsia"/>
              </w:rPr>
              <w:t xml:space="preserve">   支持常见的第三方软件例如OBS/XSplit/FMLE等。</w:t>
            </w:r>
          </w:p>
          <w:p>
            <w:pPr>
              <w:spacing w:line="360" w:lineRule="auto"/>
              <w:rPr>
                <w:rFonts w:hint="eastAsia"/>
              </w:rPr>
            </w:pPr>
            <w:r>
              <w:rPr>
                <w:rFonts w:hint="eastAsia"/>
              </w:rPr>
              <w:t xml:space="preserve">   支持主流格式全覆盖，支持H.264、H.265编码。</w:t>
            </w:r>
          </w:p>
          <w:p>
            <w:pPr>
              <w:spacing w:line="360" w:lineRule="auto"/>
              <w:rPr>
                <w:rFonts w:hint="eastAsia"/>
              </w:rPr>
            </w:pPr>
            <w:r>
              <w:rPr>
                <w:rFonts w:hint="eastAsia"/>
              </w:rPr>
              <w:t xml:space="preserve">   支持直播增值服务功能，如录制、转码、截图、时移等。</w:t>
            </w:r>
          </w:p>
          <w:p>
            <w:pPr>
              <w:spacing w:line="360" w:lineRule="auto"/>
              <w:rPr>
                <w:rFonts w:hint="eastAsia"/>
              </w:rPr>
            </w:pPr>
            <w:r>
              <w:rPr>
                <w:rFonts w:hint="eastAsia"/>
              </w:rPr>
              <w:t xml:space="preserve">   支持高清低码。</w:t>
            </w:r>
          </w:p>
          <w:p>
            <w:pPr>
              <w:spacing w:line="360" w:lineRule="auto"/>
              <w:rPr>
                <w:rFonts w:hint="eastAsia"/>
              </w:rPr>
            </w:pPr>
            <w:r>
              <w:rPr>
                <w:rFonts w:hint="eastAsia"/>
              </w:rPr>
              <w:t xml:space="preserve">   支持推拉流鉴权。</w:t>
            </w:r>
          </w:p>
          <w:p>
            <w:pPr>
              <w:pStyle w:val="14"/>
              <w:spacing w:line="360" w:lineRule="auto"/>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8</w:t>
            </w:r>
            <w:r>
              <w:rPr>
                <w:rFonts w:hint="eastAsia" w:ascii="Times New Roman" w:hAnsi="Times New Roman" w:eastAsia="宋体" w:cs="Times New Roman"/>
                <w:kern w:val="2"/>
                <w:sz w:val="21"/>
                <w:szCs w:val="24"/>
                <w:highlight w:val="none"/>
                <w:lang w:val="en-US" w:eastAsia="zh-CN" w:bidi="ar-SA"/>
              </w:rPr>
              <w:t>、提供月峰值不低于5.5Gbps的峰值带宽分发能力，对于峰值超过5.5Gbps的部分按照实际使用量进行计费，直播流量不高于4.5元/Mbps，点播流量不高于4元/Mbps。</w:t>
            </w:r>
          </w:p>
          <w:p>
            <w:pPr>
              <w:pStyle w:val="14"/>
              <w:spacing w:line="360" w:lineRule="auto"/>
              <w:rPr>
                <w:rFonts w:hint="default" w:eastAsia="宋体"/>
                <w:lang w:val="en-US" w:eastAsia="zh-CN"/>
              </w:rPr>
            </w:pPr>
            <w:r>
              <w:rPr>
                <w:rFonts w:hint="eastAsia" w:cs="Times New Roman"/>
                <w:kern w:val="2"/>
                <w:sz w:val="21"/>
                <w:szCs w:val="24"/>
                <w:highlight w:val="none"/>
                <w:lang w:val="en-US" w:eastAsia="zh-CN" w:bidi="ar-SA"/>
              </w:rPr>
              <w:t>9、结合本项目部署技术要求，</w:t>
            </w:r>
            <w:r>
              <w:rPr>
                <w:rFonts w:hint="eastAsia" w:ascii="Times New Roman" w:hAnsi="Times New Roman" w:eastAsia="宋体" w:cs="Times New Roman"/>
                <w:kern w:val="2"/>
                <w:sz w:val="21"/>
                <w:szCs w:val="24"/>
                <w:highlight w:val="none"/>
                <w:lang w:val="en-US" w:eastAsia="zh-CN" w:bidi="ar-SA"/>
              </w:rPr>
              <w:t>提供融合接入服务，保证本地平台内容高效快速接入CDN分发。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490" w:type="dxa"/>
            <w:noWrap w:val="0"/>
            <w:vAlign w:val="center"/>
          </w:tcPr>
          <w:p>
            <w:pPr>
              <w:widowControl/>
              <w:spacing w:line="360" w:lineRule="auto"/>
              <w:jc w:val="left"/>
              <w:rPr>
                <w:rFonts w:hint="eastAsia" w:ascii="宋体" w:hAnsi="宋体" w:cs="Times New Roman"/>
                <w:bCs w:val="0"/>
                <w:kern w:val="2"/>
                <w:sz w:val="21"/>
                <w:szCs w:val="24"/>
                <w:lang w:eastAsia="zh-CN" w:bidi="ar-SA"/>
              </w:rPr>
            </w:pPr>
            <w:r>
              <w:rPr>
                <w:rFonts w:hint="eastAsia" w:ascii="宋体" w:hAnsi="宋体" w:cs="Times New Roman"/>
                <w:bCs w:val="0"/>
                <w:kern w:val="2"/>
                <w:sz w:val="21"/>
                <w:szCs w:val="24"/>
                <w:lang w:eastAsia="zh-CN" w:bidi="ar-SA"/>
              </w:rPr>
              <w:t>商务条款</w:t>
            </w:r>
          </w:p>
        </w:tc>
        <w:tc>
          <w:tcPr>
            <w:tcW w:w="8369" w:type="dxa"/>
            <w:gridSpan w:val="4"/>
            <w:noWrap w:val="0"/>
            <w:vAlign w:val="center"/>
          </w:tcPr>
          <w:p>
            <w:pPr>
              <w:widowControl/>
              <w:shd w:val="clear" w:color="auto" w:fill="auto"/>
              <w:spacing w:line="360" w:lineRule="auto"/>
              <w:rPr>
                <w:rFonts w:hint="eastAsia" w:ascii="宋体" w:hAnsi="宋体" w:eastAsia="宋体"/>
                <w:lang w:val="en-US" w:eastAsia="zh-CN"/>
              </w:rPr>
            </w:pPr>
            <w:r>
              <w:rPr>
                <w:rFonts w:hint="eastAsia" w:ascii="宋体" w:hAnsi="宋体"/>
              </w:rPr>
              <w:t>一、合同签订期：自中标通知书发出之日起</w:t>
            </w:r>
            <w:r>
              <w:rPr>
                <w:rFonts w:hint="eastAsia" w:ascii="宋体" w:hAnsi="宋体"/>
                <w:u w:val="none"/>
              </w:rPr>
              <w:t xml:space="preserve"> </w:t>
            </w:r>
            <w:r>
              <w:rPr>
                <w:rFonts w:hint="eastAsia" w:ascii="宋体" w:hAnsi="宋体"/>
                <w:u w:val="none"/>
                <w:lang w:val="en-US" w:eastAsia="zh-CN"/>
              </w:rPr>
              <w:t>25</w:t>
            </w:r>
            <w:r>
              <w:rPr>
                <w:rFonts w:hint="eastAsia" w:ascii="宋体" w:hAnsi="宋体"/>
              </w:rPr>
              <w:t>日内</w:t>
            </w:r>
            <w:r>
              <w:rPr>
                <w:rFonts w:hint="eastAsia" w:ascii="宋体" w:hAnsi="宋体"/>
                <w:lang w:eastAsia="zh-CN"/>
              </w:rPr>
              <w:t>。</w:t>
            </w:r>
          </w:p>
          <w:p>
            <w:pPr>
              <w:widowControl/>
              <w:shd w:val="clear" w:color="auto" w:fill="auto"/>
              <w:spacing w:line="360" w:lineRule="auto"/>
              <w:rPr>
                <w:rFonts w:hint="eastAsia" w:ascii="宋体" w:hAnsi="宋体"/>
                <w:u w:val="none"/>
              </w:rPr>
            </w:pPr>
            <w:r>
              <w:rPr>
                <w:rFonts w:hint="eastAsia" w:ascii="宋体" w:hAnsi="宋体"/>
              </w:rPr>
              <w:t>二、提交服务成果地点：</w:t>
            </w:r>
            <w:r>
              <w:rPr>
                <w:rFonts w:hint="eastAsia" w:ascii="宋体" w:hAnsi="宋体"/>
                <w:u w:val="none"/>
              </w:rPr>
              <w:t xml:space="preserve"> 采购人指定地点。</w:t>
            </w:r>
          </w:p>
          <w:p>
            <w:pPr>
              <w:widowControl/>
              <w:spacing w:line="360" w:lineRule="auto"/>
              <w:rPr>
                <w:rFonts w:hint="eastAsia" w:ascii="宋体" w:hAnsi="宋体"/>
                <w:lang w:val="en-US" w:eastAsia="zh-CN"/>
              </w:rPr>
            </w:pPr>
            <w:r>
              <w:rPr>
                <w:rFonts w:hint="eastAsia" w:ascii="宋体" w:hAnsi="宋体"/>
              </w:rPr>
              <w:t>三、服务期限：</w:t>
            </w:r>
            <w:r>
              <w:rPr>
                <w:rFonts w:hint="eastAsia" w:ascii="宋体" w:hAnsi="宋体"/>
                <w:u w:val="none"/>
              </w:rPr>
              <w:t>自</w:t>
            </w:r>
            <w:r>
              <w:rPr>
                <w:rFonts w:hint="eastAsia" w:ascii="宋体" w:hAnsi="宋体"/>
                <w:u w:val="none"/>
                <w:lang w:val="en-US" w:eastAsia="zh-CN"/>
              </w:rPr>
              <w:t>服务验收</w:t>
            </w:r>
            <w:r>
              <w:rPr>
                <w:rFonts w:hint="eastAsia" w:ascii="宋体" w:hAnsi="宋体"/>
                <w:u w:val="none"/>
              </w:rPr>
              <w:t>之日起</w:t>
            </w:r>
            <w:r>
              <w:rPr>
                <w:rFonts w:hint="eastAsia" w:ascii="宋体" w:hAnsi="宋体"/>
                <w:u w:val="none"/>
                <w:lang w:val="en-US" w:eastAsia="zh-CN"/>
              </w:rPr>
              <w:t>6个自然月。</w:t>
            </w:r>
          </w:p>
          <w:p>
            <w:pPr>
              <w:widowControl/>
              <w:spacing w:line="360" w:lineRule="auto"/>
              <w:rPr>
                <w:rFonts w:hint="eastAsia" w:ascii="宋体" w:hAnsi="宋体" w:cs="Times New Roman"/>
                <w:color w:val="000000"/>
                <w:kern w:val="2"/>
                <w:szCs w:val="24"/>
                <w:u w:val="none"/>
                <w:lang w:val="en-US" w:eastAsia="zh-CN"/>
              </w:rPr>
            </w:pPr>
            <w:r>
              <w:rPr>
                <w:rFonts w:hint="eastAsia" w:ascii="宋体" w:hAnsi="宋体" w:cs="Times New Roman"/>
                <w:kern w:val="2"/>
                <w:szCs w:val="24"/>
              </w:rPr>
              <w:t>★</w:t>
            </w:r>
            <w:r>
              <w:rPr>
                <w:rFonts w:hint="eastAsia" w:ascii="宋体" w:hAnsi="宋体" w:cs="Times New Roman"/>
                <w:color w:val="000000"/>
                <w:kern w:val="2"/>
                <w:szCs w:val="24"/>
                <w:u w:val="none"/>
                <w:lang w:val="en-US" w:eastAsia="zh-CN"/>
              </w:rPr>
              <w:t>四、服务要求：</w:t>
            </w:r>
          </w:p>
          <w:p>
            <w:pPr>
              <w:widowControl/>
              <w:spacing w:line="360" w:lineRule="auto"/>
              <w:rPr>
                <w:rFonts w:hint="eastAsia" w:ascii="宋体" w:hAnsi="宋体" w:eastAsia="宋体" w:cs="Times New Roman"/>
                <w:kern w:val="2"/>
                <w:sz w:val="21"/>
                <w:szCs w:val="24"/>
                <w:lang w:val="en-US" w:eastAsia="zh-CN" w:bidi="ar-SA"/>
              </w:rPr>
            </w:pPr>
            <w:r>
              <w:rPr>
                <w:rFonts w:hint="eastAsia" w:ascii="宋体" w:hAnsi="宋体" w:eastAsia="宋体"/>
                <w:lang w:val="en-US" w:eastAsia="zh-CN"/>
              </w:rPr>
              <w:t>（一）服务质量：</w:t>
            </w:r>
            <w:r>
              <w:rPr>
                <w:rFonts w:hint="eastAsia" w:ascii="宋体" w:hAnsi="宋体" w:eastAsia="宋体" w:cs="Times New Roman"/>
                <w:szCs w:val="24"/>
              </w:rPr>
              <w:t>成交供应商负责对</w:t>
            </w:r>
            <w:r>
              <w:rPr>
                <w:rFonts w:hint="eastAsia" w:ascii="Times New Roman" w:hAnsi="Times New Roman" w:eastAsia="宋体" w:cs="Times New Roman"/>
                <w:kern w:val="2"/>
                <w:sz w:val="21"/>
                <w:szCs w:val="24"/>
                <w:highlight w:val="none"/>
                <w:lang w:val="en-US" w:eastAsia="zh-CN" w:bidi="ar-SA"/>
              </w:rPr>
              <w:t>融合</w:t>
            </w:r>
            <w:r>
              <w:rPr>
                <w:rFonts w:hint="eastAsia" w:ascii="宋体" w:hAnsi="宋体" w:eastAsia="宋体" w:cs="Times New Roman"/>
                <w:szCs w:val="24"/>
                <w:lang w:eastAsia="zh-CN"/>
              </w:rPr>
              <w:t>接入服务</w:t>
            </w:r>
            <w:r>
              <w:rPr>
                <w:rFonts w:hint="eastAsia" w:ascii="宋体" w:hAnsi="宋体" w:eastAsia="宋体" w:cs="Times New Roman"/>
                <w:szCs w:val="24"/>
              </w:rPr>
              <w:t>和配套设备进行安装、调试和免费维护，全额减免所租用线路的安装费、调试费，当采购人</w:t>
            </w:r>
            <w:r>
              <w:rPr>
                <w:rFonts w:hint="eastAsia" w:ascii="宋体" w:hAnsi="宋体" w:eastAsia="宋体" w:cs="Times New Roman"/>
                <w:szCs w:val="24"/>
                <w:lang w:val="en-US" w:eastAsia="zh-CN"/>
              </w:rPr>
              <w:t>CDN带宽</w:t>
            </w:r>
            <w:r>
              <w:rPr>
                <w:rFonts w:hint="eastAsia" w:ascii="宋体" w:hAnsi="宋体" w:eastAsia="宋体" w:cs="Times New Roman"/>
                <w:szCs w:val="24"/>
              </w:rPr>
              <w:t>需要扩展或升级时，免费提供解决方案。</w:t>
            </w:r>
          </w:p>
          <w:p>
            <w:pPr>
              <w:widowControl/>
              <w:spacing w:line="360" w:lineRule="auto"/>
              <w:rPr>
                <w:rFonts w:hint="eastAsia" w:ascii="宋体" w:hAnsi="宋体" w:eastAsia="宋体"/>
                <w:u w:val="none"/>
                <w:lang w:val="en-US" w:eastAsia="zh-CN"/>
              </w:rPr>
            </w:pPr>
            <w:r>
              <w:rPr>
                <w:rFonts w:hint="eastAsia" w:ascii="宋体" w:hAnsi="宋体" w:eastAsia="宋体" w:cs="Times New Roman"/>
                <w:kern w:val="2"/>
                <w:sz w:val="21"/>
                <w:szCs w:val="24"/>
                <w:lang w:val="en-US" w:eastAsia="zh-CN" w:bidi="ar-SA"/>
              </w:rPr>
              <w:t>（二）处理问题相应时间：</w:t>
            </w:r>
            <w:r>
              <w:rPr>
                <w:rFonts w:hint="eastAsia" w:ascii="宋体" w:hAnsi="宋体" w:eastAsia="宋体" w:cs="Times New Roman"/>
                <w:szCs w:val="24"/>
              </w:rPr>
              <w:t>如成交供应商监测发现有故障或采购人故障申告后，成交供应商1个小时内做出响应，2个小时内赶往现场，4个小时内解决问题。超过4个小时无法解决的故障，7日（日历日）内向采购人提交书面故障报告，报告包括故障现象描述、故障原因分析、故障解决办法、故障发生时间、故障恢复时间、如何避免同类问题发生的措施等。</w:t>
            </w:r>
          </w:p>
          <w:p>
            <w:pPr>
              <w:widowControl/>
              <w:spacing w:line="360" w:lineRule="auto"/>
              <w:rPr>
                <w:rFonts w:hint="eastAsia" w:ascii="宋体" w:hAnsi="宋体" w:eastAsia="宋体" w:cs="Times New Roman"/>
                <w:kern w:val="0"/>
                <w:sz w:val="21"/>
                <w:szCs w:val="24"/>
                <w:highlight w:val="none"/>
                <w:lang w:val="en-US" w:eastAsia="zh-CN" w:bidi="ar-SA"/>
              </w:rPr>
            </w:pPr>
            <w:r>
              <w:rPr>
                <w:rFonts w:hint="eastAsia" w:ascii="宋体" w:hAnsi="宋体"/>
                <w:highlight w:val="none"/>
                <w:u w:val="none"/>
                <w:lang w:val="en-US" w:eastAsia="zh-CN"/>
              </w:rPr>
              <w:t>五、付款及开票方式：本项目无预付款。</w:t>
            </w:r>
            <w:r>
              <w:rPr>
                <w:rFonts w:hint="eastAsia" w:ascii="宋体" w:hAnsi="宋体" w:eastAsia="宋体" w:cs="Times New Roman"/>
                <w:kern w:val="0"/>
                <w:sz w:val="21"/>
                <w:szCs w:val="24"/>
                <w:highlight w:val="none"/>
                <w:lang w:val="en-US" w:eastAsia="zh-CN" w:bidi="ar-SA"/>
              </w:rPr>
              <w:t>合同签署后</w:t>
            </w:r>
            <w:r>
              <w:rPr>
                <w:rFonts w:hint="eastAsia" w:ascii="宋体" w:hAnsi="宋体" w:cs="Times New Roman"/>
                <w:kern w:val="0"/>
                <w:sz w:val="21"/>
                <w:szCs w:val="24"/>
                <w:highlight w:val="none"/>
                <w:lang w:val="en-US" w:eastAsia="zh-CN" w:bidi="ar-SA"/>
              </w:rPr>
              <w:t>二十五</w:t>
            </w:r>
            <w:r>
              <w:rPr>
                <w:rFonts w:hint="eastAsia" w:ascii="宋体" w:hAnsi="宋体" w:eastAsia="宋体" w:cs="Times New Roman"/>
                <w:kern w:val="0"/>
                <w:sz w:val="21"/>
                <w:szCs w:val="24"/>
                <w:highlight w:val="none"/>
                <w:lang w:val="en-US" w:eastAsia="zh-CN" w:bidi="ar-SA"/>
              </w:rPr>
              <w:t>个工作日内，中标供应商开具</w:t>
            </w:r>
            <w:r>
              <w:rPr>
                <w:rFonts w:hint="eastAsia" w:ascii="宋体" w:hAnsi="宋体" w:cs="Times New Roman"/>
                <w:kern w:val="0"/>
                <w:sz w:val="21"/>
                <w:szCs w:val="24"/>
                <w:highlight w:val="none"/>
                <w:lang w:val="en-US" w:eastAsia="zh-CN" w:bidi="ar-SA"/>
              </w:rPr>
              <w:t>相应的</w:t>
            </w:r>
            <w:r>
              <w:rPr>
                <w:rFonts w:hint="eastAsia" w:ascii="宋体" w:hAnsi="宋体" w:eastAsia="宋体" w:cs="Times New Roman"/>
                <w:kern w:val="0"/>
                <w:sz w:val="21"/>
                <w:szCs w:val="24"/>
                <w:highlight w:val="none"/>
                <w:lang w:val="en-US" w:eastAsia="zh-CN" w:bidi="ar-SA"/>
              </w:rPr>
              <w:t>增值税发票给采购人，采购人收到发票后</w:t>
            </w:r>
            <w:r>
              <w:rPr>
                <w:rFonts w:hint="eastAsia" w:ascii="宋体" w:hAnsi="宋体" w:cs="Times New Roman"/>
                <w:kern w:val="0"/>
                <w:sz w:val="21"/>
                <w:szCs w:val="24"/>
                <w:highlight w:val="none"/>
                <w:lang w:val="en-US" w:eastAsia="zh-CN" w:bidi="ar-SA"/>
              </w:rPr>
              <w:t>二</w:t>
            </w:r>
            <w:r>
              <w:rPr>
                <w:rFonts w:hint="eastAsia" w:ascii="宋体" w:hAnsi="宋体" w:eastAsia="宋体" w:cs="Times New Roman"/>
                <w:kern w:val="0"/>
                <w:sz w:val="21"/>
                <w:szCs w:val="24"/>
                <w:highlight w:val="none"/>
                <w:lang w:val="en-US" w:eastAsia="zh-CN" w:bidi="ar-SA"/>
              </w:rPr>
              <w:t>十</w:t>
            </w:r>
            <w:r>
              <w:rPr>
                <w:rFonts w:hint="eastAsia" w:ascii="宋体" w:hAnsi="宋体" w:cs="Times New Roman"/>
                <w:kern w:val="0"/>
                <w:sz w:val="21"/>
                <w:szCs w:val="24"/>
                <w:highlight w:val="none"/>
                <w:lang w:val="en-US" w:eastAsia="zh-CN" w:bidi="ar-SA"/>
              </w:rPr>
              <w:t>五</w:t>
            </w:r>
            <w:r>
              <w:rPr>
                <w:rFonts w:hint="eastAsia" w:ascii="宋体" w:hAnsi="宋体" w:eastAsia="宋体" w:cs="Times New Roman"/>
                <w:kern w:val="0"/>
                <w:sz w:val="21"/>
                <w:szCs w:val="24"/>
                <w:highlight w:val="none"/>
                <w:lang w:val="en-US" w:eastAsia="zh-CN" w:bidi="ar-SA"/>
              </w:rPr>
              <w:t>个工作日内支付全部合同款。</w:t>
            </w:r>
          </w:p>
          <w:p>
            <w:pPr>
              <w:widowControl/>
              <w:spacing w:line="360" w:lineRule="auto"/>
              <w:rPr>
                <w:rFonts w:hint="eastAsia" w:ascii="宋体" w:hAnsi="宋体"/>
              </w:rPr>
            </w:pPr>
            <w:r>
              <w:rPr>
                <w:rFonts w:hint="eastAsia" w:ascii="宋体" w:hAnsi="宋体" w:cs="Times New Roman"/>
                <w:kern w:val="2"/>
                <w:szCs w:val="24"/>
              </w:rPr>
              <w:t>★</w:t>
            </w:r>
            <w:r>
              <w:rPr>
                <w:rFonts w:hint="eastAsia" w:ascii="宋体" w:hAnsi="宋体"/>
                <w:lang w:val="en-US" w:eastAsia="zh-CN"/>
              </w:rPr>
              <w:t>六</w:t>
            </w:r>
            <w:r>
              <w:rPr>
                <w:rFonts w:hint="eastAsia" w:ascii="宋体" w:hAnsi="宋体"/>
              </w:rPr>
              <w:t>、其他要求：</w:t>
            </w:r>
          </w:p>
          <w:p>
            <w:pPr>
              <w:widowControl/>
              <w:adjustRightInd/>
              <w:snapToGrid/>
              <w:spacing w:line="360" w:lineRule="auto"/>
              <w:ind w:firstLine="0" w:firstLineChars="0"/>
              <w:rPr>
                <w:rFonts w:hint="eastAsia" w:ascii="宋体" w:hAnsi="宋体" w:cs="Times New Roman"/>
                <w:bCs w:val="0"/>
                <w:color w:val="auto"/>
                <w:kern w:val="2"/>
                <w:szCs w:val="24"/>
                <w:lang w:val="en-US" w:eastAsia="zh-CN"/>
              </w:rPr>
            </w:pPr>
            <w:r>
              <w:rPr>
                <w:rFonts w:hint="eastAsia" w:ascii="宋体" w:hAnsi="宋体" w:cs="Times New Roman"/>
                <w:bCs w:val="0"/>
                <w:color w:val="auto"/>
                <w:kern w:val="2"/>
                <w:szCs w:val="24"/>
                <w:lang w:val="en-US" w:eastAsia="zh-CN"/>
              </w:rPr>
              <w:t>1、报价必须含以下部分，包括:</w:t>
            </w:r>
          </w:p>
          <w:p>
            <w:pPr>
              <w:widowControl/>
              <w:adjustRightInd/>
              <w:snapToGrid/>
              <w:spacing w:line="360" w:lineRule="auto"/>
              <w:ind w:firstLine="0" w:firstLineChars="0"/>
              <w:rPr>
                <w:rFonts w:hint="eastAsia" w:ascii="宋体" w:hAnsi="宋体" w:cs="Times New Roman"/>
                <w:bCs w:val="0"/>
                <w:color w:val="auto"/>
                <w:kern w:val="2"/>
                <w:szCs w:val="24"/>
                <w:lang w:val="en-US" w:eastAsia="zh-CN"/>
              </w:rPr>
            </w:pPr>
            <w:r>
              <w:rPr>
                <w:rFonts w:hint="eastAsia" w:ascii="宋体" w:hAnsi="宋体" w:cs="Times New Roman"/>
                <w:bCs w:val="0"/>
                <w:color w:val="auto"/>
                <w:kern w:val="2"/>
                <w:szCs w:val="24"/>
                <w:lang w:val="en-US" w:eastAsia="zh-CN"/>
              </w:rPr>
              <w:t>(1)服务的价格;</w:t>
            </w:r>
          </w:p>
          <w:p>
            <w:pPr>
              <w:widowControl/>
              <w:adjustRightInd/>
              <w:snapToGrid/>
              <w:spacing w:line="360" w:lineRule="auto"/>
              <w:ind w:firstLine="0" w:firstLineChars="0"/>
              <w:rPr>
                <w:rFonts w:hint="eastAsia" w:ascii="宋体" w:hAnsi="宋体" w:cs="Times New Roman"/>
                <w:bCs w:val="0"/>
                <w:color w:val="auto"/>
                <w:kern w:val="2"/>
                <w:szCs w:val="24"/>
                <w:lang w:val="en-US" w:eastAsia="zh-CN"/>
              </w:rPr>
            </w:pPr>
            <w:r>
              <w:rPr>
                <w:rFonts w:hint="eastAsia" w:ascii="宋体" w:hAnsi="宋体" w:cs="Times New Roman"/>
                <w:bCs w:val="0"/>
                <w:color w:val="auto"/>
                <w:kern w:val="2"/>
                <w:szCs w:val="24"/>
                <w:lang w:val="en-US" w:eastAsia="zh-CN"/>
              </w:rPr>
              <w:t>(2)必要的保险费用和各项税金;</w:t>
            </w:r>
          </w:p>
          <w:p>
            <w:pPr>
              <w:widowControl/>
              <w:adjustRightInd/>
              <w:snapToGrid/>
              <w:spacing w:line="360" w:lineRule="auto"/>
              <w:ind w:firstLine="0" w:firstLineChars="0"/>
              <w:rPr>
                <w:rFonts w:hint="eastAsia" w:ascii="宋体" w:hAnsi="宋体" w:cs="Times New Roman"/>
                <w:bCs w:val="0"/>
                <w:color w:val="auto"/>
                <w:kern w:val="2"/>
                <w:szCs w:val="24"/>
                <w:lang w:val="en-US" w:eastAsia="zh-CN"/>
              </w:rPr>
            </w:pPr>
            <w:r>
              <w:rPr>
                <w:rFonts w:hint="eastAsia" w:ascii="宋体" w:hAnsi="宋体" w:cs="Times New Roman"/>
                <w:bCs w:val="0"/>
                <w:color w:val="auto"/>
                <w:kern w:val="2"/>
                <w:szCs w:val="24"/>
                <w:lang w:val="en-US" w:eastAsia="zh-CN"/>
              </w:rPr>
              <w:t>(3)运输、装卸、安装、调试、培训、技术支持、售后服务、更新升级等费用;</w:t>
            </w:r>
          </w:p>
          <w:p>
            <w:pPr>
              <w:widowControl/>
              <w:snapToGrid/>
              <w:spacing w:line="360" w:lineRule="auto"/>
              <w:jc w:val="left"/>
              <w:rPr>
                <w:rFonts w:hint="eastAsia" w:ascii="宋体" w:hAnsi="宋体" w:eastAsia="宋体"/>
                <w:szCs w:val="24"/>
                <w:lang w:val="en-US" w:eastAsia="zh-CN"/>
              </w:rPr>
            </w:pPr>
            <w:r>
              <w:rPr>
                <w:rFonts w:hint="eastAsia"/>
                <w:color w:val="auto"/>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bookmarkEnd w:id="2"/>
    </w:tbl>
    <w:p>
      <w:pPr>
        <w:rPr>
          <w:rFonts w:hint="eastAsia"/>
          <w:b/>
          <w:sz w:val="36"/>
        </w:rPr>
      </w:pPr>
      <w:r>
        <w:rPr>
          <w:rFonts w:hint="eastAsia"/>
          <w:b/>
          <w:sz w:val="36"/>
        </w:rPr>
        <w:br w:type="page"/>
      </w:r>
    </w:p>
    <w:p>
      <w:pPr>
        <w:pStyle w:val="8"/>
        <w:jc w:val="center"/>
        <w:rPr>
          <w:b/>
          <w:sz w:val="36"/>
        </w:rPr>
      </w:pPr>
      <w:r>
        <w:rPr>
          <w:rFonts w:hint="eastAsia"/>
          <w:b/>
          <w:sz w:val="36"/>
        </w:rPr>
        <w:t>第二章</w:t>
      </w:r>
      <w:r>
        <w:rPr>
          <w:b/>
          <w:sz w:val="36"/>
        </w:rPr>
        <w:t xml:space="preserve"> </w:t>
      </w:r>
      <w:r>
        <w:rPr>
          <w:rFonts w:hint="eastAsia"/>
          <w:b/>
          <w:sz w:val="36"/>
        </w:rPr>
        <w:t>评审方法</w:t>
      </w:r>
    </w:p>
    <w:p>
      <w:pPr>
        <w:pStyle w:val="8"/>
        <w:rPr>
          <w:color w:val="auto"/>
          <w:sz w:val="28"/>
        </w:rPr>
      </w:pPr>
      <w:r>
        <w:rPr>
          <w:rFonts w:hint="eastAsia"/>
          <w:b/>
          <w:bCs/>
        </w:rPr>
        <w:t xml:space="preserve">   </w:t>
      </w:r>
      <w:r>
        <w:rPr>
          <w:rFonts w:hint="eastAsia"/>
          <w:b/>
          <w:bCs/>
          <w:color w:val="auto"/>
        </w:rPr>
        <w:t xml:space="preserve">                                 </w:t>
      </w:r>
    </w:p>
    <w:p>
      <w:pPr>
        <w:pStyle w:val="8"/>
        <w:jc w:val="center"/>
        <w:rPr>
          <w:rFonts w:hint="eastAsia" w:ascii="宋体" w:hAnsi="宋体"/>
          <w:b/>
          <w:sz w:val="32"/>
        </w:rPr>
      </w:pPr>
      <w:r>
        <w:rPr>
          <w:rFonts w:hint="eastAsia"/>
          <w:b/>
          <w:sz w:val="36"/>
        </w:rPr>
        <w:t>第二章</w:t>
      </w:r>
      <w:r>
        <w:rPr>
          <w:b/>
          <w:sz w:val="36"/>
        </w:rPr>
        <w:t xml:space="preserve"> </w:t>
      </w:r>
      <w:r>
        <w:rPr>
          <w:rFonts w:hint="eastAsia" w:ascii="宋体" w:hAnsi="宋体"/>
          <w:b/>
          <w:sz w:val="32"/>
        </w:rPr>
        <w:t>评标方法和评标标准（综合评分法）</w:t>
      </w:r>
    </w:p>
    <w:p>
      <w:pPr>
        <w:pStyle w:val="13"/>
        <w:snapToGrid w:val="0"/>
        <w:spacing w:line="360" w:lineRule="auto"/>
        <w:ind w:firstLine="308" w:firstLineChars="147"/>
        <w:rPr>
          <w:rFonts w:hint="eastAsia" w:ascii="宋体" w:hAnsi="宋体" w:eastAsia="宋体"/>
          <w:bCs/>
          <w:lang w:val="en-US" w:eastAsia="zh-CN"/>
        </w:rPr>
      </w:pPr>
    </w:p>
    <w:p>
      <w:pPr>
        <w:pStyle w:val="13"/>
        <w:snapToGrid w:val="0"/>
        <w:spacing w:line="360" w:lineRule="auto"/>
        <w:ind w:firstLine="308" w:firstLineChars="147"/>
        <w:rPr>
          <w:rFonts w:hint="default" w:eastAsia="宋体"/>
          <w:lang w:val="en-US" w:eastAsia="zh-CN"/>
        </w:rPr>
      </w:pPr>
      <w:r>
        <w:rPr>
          <w:rFonts w:hint="eastAsia" w:ascii="宋体" w:hAnsi="宋体" w:eastAsia="宋体"/>
          <w:bCs/>
          <w:lang w:val="en-US" w:eastAsia="zh-CN"/>
        </w:rPr>
        <w:t>本次评标采用综合评分法</w:t>
      </w:r>
      <w:r>
        <w:rPr>
          <w:rFonts w:hint="eastAsia" w:hAnsi="宋体"/>
          <w:bCs/>
          <w:lang w:val="en-US" w:eastAsia="zh-CN"/>
        </w:rPr>
        <w:t>，评标小组</w:t>
      </w:r>
      <w:r>
        <w:t>以采购文件为依据，对竞标文件进行评审，在全部满足采购文件实质性要求和条件的前提下，</w:t>
      </w:r>
      <w:r>
        <w:rPr>
          <w:rFonts w:hint="eastAsia" w:ascii="宋体" w:hAnsi="宋体" w:eastAsia="宋体"/>
          <w:bCs/>
          <w:lang w:val="en-US" w:eastAsia="zh-CN"/>
        </w:rPr>
        <w:t>按照本章规定的评分标准进行打分，按照</w:t>
      </w:r>
      <w:r>
        <w:rPr>
          <w:rFonts w:hint="eastAsia" w:hAnsi="宋体"/>
          <w:bCs/>
          <w:lang w:val="en-US" w:eastAsia="zh-CN"/>
        </w:rPr>
        <w:t>总得分</w:t>
      </w:r>
      <w:r>
        <w:rPr>
          <w:rFonts w:hint="eastAsia"/>
          <w:lang w:eastAsia="zh-CN"/>
        </w:rPr>
        <w:t>由高到低</w:t>
      </w:r>
      <w:r>
        <w:t>排列成交候选供应商顺序（</w:t>
      </w:r>
      <w:r>
        <w:rPr>
          <w:rFonts w:hint="eastAsia"/>
          <w:lang w:eastAsia="zh-CN"/>
        </w:rPr>
        <w:t>总得分</w:t>
      </w:r>
      <w:r>
        <w:t>相同时，依次按</w:t>
      </w:r>
      <w:r>
        <w:rPr>
          <w:rFonts w:hint="eastAsia"/>
          <w:lang w:eastAsia="zh-CN"/>
        </w:rPr>
        <w:t>报价低、</w:t>
      </w:r>
      <w:r>
        <w:t>节能环保产品优先、技术指标高优先、质量保证期长优先、交货期短优先、故障响应时间短优先的顺序排列；</w:t>
      </w:r>
      <w:r>
        <w:rPr>
          <w:rFonts w:hint="eastAsia"/>
          <w:lang w:eastAsia="zh-CN"/>
        </w:rPr>
        <w:t>总得分</w:t>
      </w:r>
      <w:r>
        <w:t>相同时且前述指标均相同时，由</w:t>
      </w:r>
      <w:r>
        <w:rPr>
          <w:rFonts w:hint="eastAsia" w:hAnsi="宋体"/>
          <w:bCs/>
          <w:lang w:val="en-US" w:eastAsia="zh-CN"/>
        </w:rPr>
        <w:t>评标小组</w:t>
      </w:r>
      <w:r>
        <w:t>对</w:t>
      </w:r>
      <w:r>
        <w:rPr>
          <w:rFonts w:hint="eastAsia"/>
          <w:lang w:eastAsia="zh-CN"/>
        </w:rPr>
        <w:t>总得分</w:t>
      </w:r>
      <w:r>
        <w:t>相同的供应商当场投票表决，得票多者优先；按前述程序仍无法确定供应商排名顺序的，由评审委员会抽签决定），并依照次序确定1</w:t>
      </w:r>
      <w:r>
        <w:rPr>
          <w:rFonts w:hint="eastAsia"/>
        </w:rPr>
        <w:t>家</w:t>
      </w:r>
      <w:r>
        <w:t>成交供应商。</w:t>
      </w:r>
      <w:r>
        <w:rPr>
          <w:rFonts w:hint="eastAsia"/>
          <w:lang w:val="en-US" w:eastAsia="zh-CN"/>
        </w:rPr>
        <w:t xml:space="preserve"> 总得分=1+2+3</w:t>
      </w:r>
    </w:p>
    <w:p>
      <w:pPr>
        <w:spacing w:line="360" w:lineRule="auto"/>
        <w:ind w:firstLine="482"/>
        <w:rPr>
          <w:rFonts w:cs="宋体"/>
          <w:b/>
          <w:color w:val="auto"/>
        </w:rPr>
      </w:pPr>
      <w:r>
        <w:rPr>
          <w:rFonts w:hint="eastAsia" w:cs="宋体"/>
          <w:b/>
          <w:color w:val="auto"/>
        </w:rPr>
        <w:t>1、价格分……………………………………………………………………</w:t>
      </w:r>
      <w:r>
        <w:rPr>
          <w:rFonts w:hint="eastAsia" w:cs="宋体"/>
          <w:b/>
          <w:color w:val="auto"/>
          <w:lang w:val="en-US" w:eastAsia="zh-CN"/>
        </w:rPr>
        <w:t>2</w:t>
      </w:r>
      <w:r>
        <w:rPr>
          <w:rFonts w:hint="eastAsia" w:cs="宋体"/>
          <w:b/>
          <w:color w:val="auto"/>
        </w:rPr>
        <w:t>0分</w:t>
      </w:r>
    </w:p>
    <w:p>
      <w:pPr>
        <w:snapToGrid w:val="0"/>
        <w:spacing w:line="360" w:lineRule="auto"/>
        <w:ind w:firstLine="234" w:firstLineChars="111"/>
        <w:rPr>
          <w:b/>
          <w:bCs w:val="0"/>
          <w:szCs w:val="21"/>
        </w:rPr>
      </w:pPr>
      <w:r>
        <w:rPr>
          <w:b/>
          <w:bCs w:val="0"/>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Ansi="宋体"/>
          <w:b/>
          <w:bCs/>
          <w:szCs w:val="21"/>
        </w:rPr>
      </w:pPr>
      <w:r>
        <w:rPr>
          <w:bCs/>
          <w:szCs w:val="21"/>
        </w:rPr>
        <w:t>（2）政策性扣除计算方法。</w:t>
      </w:r>
    </w:p>
    <w:p>
      <w:pPr>
        <w:snapToGrid w:val="0"/>
        <w:spacing w:line="360" w:lineRule="auto"/>
        <w:ind w:firstLine="443" w:firstLineChars="211"/>
        <w:rPr>
          <w:szCs w:val="21"/>
        </w:rPr>
      </w:pPr>
      <w:r>
        <w:rPr>
          <w:bCs/>
          <w:szCs w:val="21"/>
        </w:rPr>
        <w:t>根据《政府采购促进中小企业发展管理办法》（财库〔2020〕46号）</w:t>
      </w:r>
      <w:r>
        <w:rPr>
          <w:bCs/>
        </w:rPr>
        <w:t>及桂财采〔2022〕30号《广西壮族自治区财政厅关于进一步发挥政府采购政策功能促进企业发展的通知》</w:t>
      </w:r>
      <w:r>
        <w:rPr>
          <w:bCs/>
          <w:szCs w:val="21"/>
        </w:rPr>
        <w:t>的规定，投标人在其投标文件中提供</w:t>
      </w:r>
      <w:r>
        <w:rPr>
          <w:b/>
          <w:bCs w:val="0"/>
          <w:szCs w:val="21"/>
        </w:rPr>
        <w:t>《中小企业声明函》</w:t>
      </w:r>
      <w:r>
        <w:rPr>
          <w:bCs/>
          <w:szCs w:val="21"/>
        </w:rPr>
        <w:t>，且其投标全部货物由小微企业制造的，对其投标报价给予20%的扣除，扣除后的价格为评标报价，即</w:t>
      </w:r>
      <w:r>
        <w:rPr>
          <w:b/>
          <w:bCs w:val="0"/>
          <w:szCs w:val="21"/>
        </w:rPr>
        <w:t>评标报价=投标报价×（1-20%）</w:t>
      </w:r>
      <w:r>
        <w:rPr>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bCs/>
          <w:szCs w:val="21"/>
          <w:u w:val="single"/>
        </w:rPr>
        <w:t xml:space="preserve">4 </w:t>
      </w:r>
      <w:r>
        <w:rPr>
          <w:bCs/>
          <w:szCs w:val="21"/>
        </w:rPr>
        <w:t>%）</w:t>
      </w:r>
      <w:r>
        <w:rPr>
          <w:rFonts w:hint="eastAsia"/>
          <w:bCs/>
          <w:szCs w:val="21"/>
          <w:lang w:eastAsia="zh-CN"/>
        </w:rPr>
        <w:t>，</w:t>
      </w:r>
      <w:r>
        <w:rPr>
          <w:b/>
          <w:bCs w:val="0"/>
          <w:szCs w:val="21"/>
        </w:rPr>
        <w:t>除上述情况外，评标报价=投标报价。</w:t>
      </w:r>
    </w:p>
    <w:p>
      <w:pPr>
        <w:snapToGrid w:val="0"/>
        <w:spacing w:line="360" w:lineRule="auto"/>
        <w:ind w:firstLine="233" w:firstLineChars="111"/>
        <w:rPr>
          <w:bCs/>
          <w:szCs w:val="21"/>
        </w:rPr>
      </w:pPr>
      <w:r>
        <w:rPr>
          <w:bCs/>
          <w:szCs w:val="21"/>
        </w:rPr>
        <w:t>（3）按照《财政部、司法部关于政府采购支持监狱企业发展有关问题的通知》（财库〔2014〕68号）的规定，监狱企业视同小型、微型企业，享受预留份额、评审中价格扣除等促进中小企业发展的政府采购政策。</w:t>
      </w:r>
      <w:r>
        <w:rPr>
          <w:szCs w:val="21"/>
        </w:rPr>
        <w:t>监狱企业参加政府采购活动时，应当提供由省级以上监狱管理局、戒毒管理局（含新疆生产建设兵团）出具的属于监狱企业的证明文件。</w:t>
      </w:r>
      <w:r>
        <w:rPr>
          <w:bCs/>
          <w:szCs w:val="21"/>
        </w:rPr>
        <w:t>监狱企业属于小型、微型企业的，不重复享受政策。</w:t>
      </w:r>
    </w:p>
    <w:p>
      <w:pPr>
        <w:snapToGrid w:val="0"/>
        <w:spacing w:line="360" w:lineRule="auto"/>
        <w:ind w:firstLine="233" w:firstLineChars="111"/>
        <w:rPr>
          <w:bCs/>
          <w:szCs w:val="21"/>
        </w:rPr>
      </w:pPr>
      <w:r>
        <w:rPr>
          <w:szCs w:val="21"/>
        </w:rPr>
        <w:t>（4）按照</w:t>
      </w:r>
      <w:r>
        <w:rPr>
          <w:bCs/>
          <w:szCs w:val="21"/>
        </w:rPr>
        <w:t>《关于促进残疾人就业政府采购政策的通知》（财库〔2017〕141号）的规定，残疾人福利性单位视同小型、微型企业，享受预留份额、评审中价格扣除等促进中小企业发展的政府采购政策。</w:t>
      </w:r>
      <w:r>
        <w:rPr>
          <w:szCs w:val="21"/>
        </w:rPr>
        <w:t>残疾人福利性单位参加政府采购活动时，应当提供该通知规定的《残疾人福利性单位声明函》，并对声明的真实性负责。</w:t>
      </w:r>
      <w:r>
        <w:rPr>
          <w:bCs/>
          <w:szCs w:val="21"/>
        </w:rPr>
        <w:t>残疾人福利性单位属于小型、微型企业的，不重复享受政策。</w:t>
      </w:r>
    </w:p>
    <w:p>
      <w:pPr>
        <w:spacing w:line="360" w:lineRule="auto"/>
        <w:ind w:firstLine="480"/>
        <w:rPr>
          <w:rFonts w:cs="宋体"/>
          <w:bCs/>
          <w:color w:val="auto"/>
        </w:rPr>
      </w:pPr>
      <w:r>
        <w:rPr>
          <w:rFonts w:hint="eastAsia" w:cs="宋体"/>
          <w:bCs/>
          <w:color w:val="auto"/>
        </w:rPr>
        <w:t>（</w:t>
      </w:r>
      <w:r>
        <w:rPr>
          <w:rFonts w:hint="eastAsia" w:cs="宋体"/>
          <w:bCs/>
          <w:color w:val="auto"/>
          <w:lang w:val="en-US" w:eastAsia="zh-CN"/>
        </w:rPr>
        <w:t>5</w:t>
      </w:r>
      <w:r>
        <w:rPr>
          <w:rFonts w:hint="eastAsia" w:cs="宋体"/>
          <w:bCs/>
          <w:color w:val="auto"/>
        </w:rPr>
        <w:t>）以进入比较与评价环节的最低的评审报价为基准价，基准价得分为</w:t>
      </w:r>
      <w:r>
        <w:rPr>
          <w:rFonts w:hint="eastAsia" w:cs="宋体"/>
          <w:bCs/>
          <w:color w:val="auto"/>
          <w:lang w:val="en-US" w:eastAsia="zh-CN"/>
        </w:rPr>
        <w:t>2</w:t>
      </w:r>
      <w:r>
        <w:rPr>
          <w:rFonts w:hint="eastAsia" w:cs="宋体"/>
          <w:bCs/>
          <w:color w:val="auto"/>
        </w:rPr>
        <w:t>0分。</w:t>
      </w:r>
    </w:p>
    <w:p>
      <w:pPr>
        <w:spacing w:line="360" w:lineRule="auto"/>
        <w:ind w:firstLine="480"/>
        <w:rPr>
          <w:rFonts w:cs="宋体"/>
          <w:bCs/>
          <w:color w:val="auto"/>
        </w:rPr>
      </w:pPr>
      <w:r>
        <w:rPr>
          <w:rFonts w:hint="eastAsia" w:cs="宋体"/>
          <w:bCs/>
          <w:color w:val="auto"/>
        </w:rPr>
        <w:t>（</w:t>
      </w:r>
      <w:r>
        <w:rPr>
          <w:rFonts w:hint="eastAsia" w:cs="宋体"/>
          <w:bCs/>
          <w:color w:val="auto"/>
          <w:lang w:val="en-US" w:eastAsia="zh-CN"/>
        </w:rPr>
        <w:t>6</w:t>
      </w:r>
      <w:r>
        <w:rPr>
          <w:rFonts w:hint="eastAsia" w:cs="宋体"/>
          <w:bCs/>
          <w:color w:val="auto"/>
        </w:rPr>
        <w:t>）价格分计算公式：</w:t>
      </w:r>
    </w:p>
    <w:p>
      <w:pPr>
        <w:spacing w:line="360" w:lineRule="auto"/>
        <w:ind w:firstLine="1470" w:firstLineChars="700"/>
        <w:rPr>
          <w:rFonts w:cs="宋体"/>
          <w:color w:val="auto"/>
          <w:spacing w:val="-4"/>
        </w:rPr>
      </w:pPr>
      <w:r>
        <w:rPr>
          <w:rFonts w:hint="eastAsia" w:cs="宋体"/>
          <w:bCs/>
          <w:color w:val="auto"/>
        </w:rPr>
        <w:t>报价得分=（基准价/</w:t>
      </w:r>
      <w:r>
        <w:rPr>
          <w:rFonts w:hint="eastAsia" w:cs="宋体"/>
          <w:bCs/>
          <w:color w:val="auto"/>
          <w:lang w:eastAsia="zh-CN"/>
        </w:rPr>
        <w:t>投标</w:t>
      </w:r>
      <w:r>
        <w:rPr>
          <w:rFonts w:hint="eastAsia" w:cs="宋体"/>
          <w:bCs/>
          <w:color w:val="auto"/>
        </w:rPr>
        <w:t xml:space="preserve">报价）× </w:t>
      </w:r>
      <w:r>
        <w:rPr>
          <w:rFonts w:hint="eastAsia" w:cs="宋体"/>
          <w:bCs/>
          <w:color w:val="auto"/>
          <w:lang w:val="en-US" w:eastAsia="zh-CN"/>
        </w:rPr>
        <w:t>2</w:t>
      </w:r>
      <w:r>
        <w:rPr>
          <w:rFonts w:hint="eastAsia" w:cs="宋体"/>
          <w:bCs/>
          <w:color w:val="auto"/>
        </w:rPr>
        <w:t>0分</w:t>
      </w:r>
      <w:bookmarkStart w:id="9" w:name="_GoBack"/>
      <w:bookmarkEnd w:id="9"/>
    </w:p>
    <w:p>
      <w:pPr>
        <w:spacing w:line="360" w:lineRule="auto"/>
        <w:ind w:firstLine="482"/>
        <w:rPr>
          <w:rFonts w:cs="宋体"/>
          <w:b/>
          <w:bCs/>
        </w:rPr>
      </w:pPr>
      <w:r>
        <w:rPr>
          <w:rFonts w:hint="eastAsia" w:cs="宋体"/>
          <w:b/>
          <w:bCs/>
        </w:rPr>
        <w:t>2.技术分</w:t>
      </w:r>
      <w:bookmarkStart w:id="3" w:name="OLE_LINK20"/>
      <w:r>
        <w:rPr>
          <w:rFonts w:hint="eastAsia" w:cs="宋体"/>
          <w:b/>
          <w:bCs/>
        </w:rPr>
        <w:t>………………………………………………………………………</w:t>
      </w:r>
      <w:bookmarkEnd w:id="3"/>
      <w:r>
        <w:rPr>
          <w:rFonts w:hint="eastAsia" w:cs="宋体"/>
          <w:b/>
          <w:bCs/>
        </w:rPr>
        <w:t>4</w:t>
      </w:r>
      <w:r>
        <w:rPr>
          <w:rFonts w:hint="eastAsia" w:cs="宋体"/>
          <w:b/>
          <w:bCs/>
          <w:lang w:val="en-US" w:eastAsia="zh-CN"/>
        </w:rPr>
        <w:t>0</w:t>
      </w:r>
      <w:r>
        <w:rPr>
          <w:rFonts w:hint="eastAsia" w:cs="宋体"/>
          <w:b/>
          <w:bCs/>
        </w:rPr>
        <w:t>分</w:t>
      </w:r>
    </w:p>
    <w:p>
      <w:pPr>
        <w:spacing w:line="360" w:lineRule="auto"/>
        <w:ind w:firstLine="482"/>
        <w:rPr>
          <w:rFonts w:cs="宋体"/>
        </w:rPr>
      </w:pPr>
      <w:bookmarkStart w:id="4" w:name="OLE_LINK10"/>
      <w:r>
        <w:rPr>
          <w:rFonts w:hint="eastAsia" w:cs="宋体"/>
          <w:b/>
        </w:rPr>
        <w:t>（</w:t>
      </w:r>
      <w:r>
        <w:rPr>
          <w:rFonts w:hint="eastAsia" w:cs="宋体"/>
          <w:b/>
          <w:bCs/>
        </w:rPr>
        <w:t>1）</w:t>
      </w:r>
      <w:r>
        <w:rPr>
          <w:rFonts w:hint="eastAsia" w:cs="宋体"/>
          <w:b/>
        </w:rPr>
        <w:t>技术方案分（满分</w:t>
      </w:r>
      <w:r>
        <w:rPr>
          <w:rFonts w:cs="宋体"/>
          <w:b/>
        </w:rPr>
        <w:t>20</w:t>
      </w:r>
      <w:r>
        <w:rPr>
          <w:rFonts w:hint="eastAsia" w:cs="宋体"/>
          <w:b/>
        </w:rPr>
        <w:t>分）</w:t>
      </w:r>
    </w:p>
    <w:p>
      <w:pPr>
        <w:spacing w:line="360" w:lineRule="auto"/>
        <w:ind w:firstLine="480"/>
        <w:rPr>
          <w:rFonts w:cs="宋体"/>
        </w:rPr>
      </w:pPr>
      <w:r>
        <w:rPr>
          <w:rFonts w:hint="eastAsia" w:cs="宋体"/>
        </w:rPr>
        <w:t>由评委根据投标</w:t>
      </w:r>
      <w:r>
        <w:rPr>
          <w:rFonts w:hint="eastAsia" w:cs="宋体"/>
          <w:bCs/>
        </w:rPr>
        <w:t>人的</w:t>
      </w:r>
      <w:r>
        <w:rPr>
          <w:rFonts w:hint="eastAsia" w:cs="宋体"/>
        </w:rPr>
        <w:t>技术方案</w:t>
      </w:r>
      <w:r>
        <w:rPr>
          <w:rFonts w:hint="eastAsia" w:cs="宋体"/>
          <w:bCs/>
        </w:rPr>
        <w:t>优劣独立打分，以下各项以得分最高的计分，不重复得分，不能达到一档要求的得0分。</w:t>
      </w:r>
    </w:p>
    <w:p>
      <w:pPr>
        <w:spacing w:line="360" w:lineRule="auto"/>
        <w:ind w:firstLine="480"/>
        <w:rPr>
          <w:rFonts w:cs="宋体"/>
          <w:bCs/>
          <w:color w:val="auto"/>
        </w:rPr>
      </w:pPr>
      <w:r>
        <w:rPr>
          <w:rFonts w:hint="eastAsia" w:cs="宋体"/>
        </w:rPr>
        <w:t>一档（</w:t>
      </w:r>
      <w:r>
        <w:rPr>
          <w:rFonts w:cs="宋体"/>
        </w:rPr>
        <w:t>5</w:t>
      </w:r>
      <w:r>
        <w:rPr>
          <w:rFonts w:hint="eastAsia" w:cs="宋体"/>
        </w:rPr>
        <w:t>分）：技术参数全部满足采购文件要</w:t>
      </w:r>
      <w:r>
        <w:rPr>
          <w:rFonts w:hint="eastAsia" w:cs="宋体"/>
          <w:color w:val="auto"/>
        </w:rPr>
        <w:t>求，</w:t>
      </w:r>
      <w:r>
        <w:rPr>
          <w:rFonts w:hint="eastAsia" w:cs="宋体"/>
          <w:b w:val="0"/>
          <w:bCs w:val="0"/>
          <w:color w:val="auto"/>
          <w:lang w:eastAsia="zh-CN"/>
        </w:rPr>
        <w:t>提供简单的</w:t>
      </w:r>
      <w:r>
        <w:rPr>
          <w:rFonts w:hint="eastAsia" w:cs="宋体"/>
          <w:b w:val="0"/>
          <w:bCs w:val="0"/>
          <w:color w:val="auto"/>
        </w:rPr>
        <w:t>技术实施方法和思路，</w:t>
      </w:r>
      <w:r>
        <w:rPr>
          <w:rFonts w:hint="eastAsia" w:cs="宋体"/>
          <w:b w:val="0"/>
          <w:bCs w:val="0"/>
          <w:color w:val="auto"/>
          <w:lang w:eastAsia="zh-CN"/>
        </w:rPr>
        <w:t>仅能基本满足项目需求</w:t>
      </w:r>
      <w:r>
        <w:rPr>
          <w:rFonts w:hint="eastAsia" w:cs="宋体"/>
          <w:b w:val="0"/>
          <w:bCs w:val="0"/>
          <w:color w:val="auto"/>
        </w:rPr>
        <w:t xml:space="preserve">。 </w:t>
      </w:r>
    </w:p>
    <w:p>
      <w:pPr>
        <w:spacing w:line="360" w:lineRule="auto"/>
        <w:ind w:firstLine="480"/>
        <w:rPr>
          <w:rFonts w:cs="宋体"/>
          <w:bCs/>
        </w:rPr>
      </w:pPr>
      <w:r>
        <w:rPr>
          <w:rFonts w:hint="eastAsia" w:cs="宋体"/>
          <w:bCs/>
        </w:rPr>
        <w:t>二档（</w:t>
      </w:r>
      <w:r>
        <w:rPr>
          <w:rFonts w:cs="宋体"/>
          <w:bCs/>
        </w:rPr>
        <w:t>10</w:t>
      </w:r>
      <w:r>
        <w:rPr>
          <w:rFonts w:hint="eastAsia" w:cs="宋体"/>
          <w:bCs/>
        </w:rPr>
        <w:t>分）：在满足第一档的情况下，</w:t>
      </w:r>
      <w:r>
        <w:rPr>
          <w:rFonts w:hint="eastAsia" w:cs="宋体"/>
        </w:rPr>
        <w:t>投标人或其上级机构具有电信业务经营许可证，服务项目和业务覆盖范围：内容分发网络业务（CDN）全国（提供电</w:t>
      </w:r>
      <w:r>
        <w:rPr>
          <w:rFonts w:hint="eastAsia" w:cs="宋体"/>
          <w:bCs/>
        </w:rPr>
        <w:t>信</w:t>
      </w:r>
      <w:r>
        <w:rPr>
          <w:rFonts w:hint="eastAsia" w:cs="宋体"/>
          <w:bCs/>
          <w:lang w:eastAsia="zh-CN"/>
        </w:rPr>
        <w:t>增值</w:t>
      </w:r>
      <w:r>
        <w:rPr>
          <w:rFonts w:hint="eastAsia" w:cs="宋体"/>
          <w:bCs/>
        </w:rPr>
        <w:t>业务经营许可证复印件，要求许可证清晰、完整显示投标人或其上级机构名称）；</w:t>
      </w:r>
      <w:r>
        <w:rPr>
          <w:rFonts w:hint="eastAsia" w:cs="宋体"/>
          <w:bCs/>
          <w:lang w:val="en-US" w:eastAsia="zh-CN"/>
        </w:rPr>
        <w:t>融合</w:t>
      </w:r>
      <w:r>
        <w:rPr>
          <w:rFonts w:hint="eastAsia" w:cs="宋体"/>
          <w:bCs/>
          <w:lang w:eastAsia="zh-CN"/>
        </w:rPr>
        <w:t>接入服务</w:t>
      </w:r>
      <w:r>
        <w:rPr>
          <w:rFonts w:hint="eastAsia" w:cs="宋体"/>
          <w:bCs/>
        </w:rPr>
        <w:t>采用基于分组交换、面向连接的网络技术进行组网（要求针对所选用网络技术基于分组交换、面向连接等特性提供第三方机构证明材料，并加盖投标人电子公章）。</w:t>
      </w:r>
    </w:p>
    <w:p>
      <w:pPr>
        <w:spacing w:line="360" w:lineRule="auto"/>
        <w:ind w:firstLine="482"/>
        <w:rPr>
          <w:rFonts w:hint="default" w:cs="宋体"/>
          <w:bCs/>
          <w:lang w:val="en-US"/>
        </w:rPr>
      </w:pPr>
      <w:r>
        <w:rPr>
          <w:rFonts w:hint="eastAsia" w:cs="宋体"/>
          <w:bCs/>
        </w:rPr>
        <w:t>三档（</w:t>
      </w:r>
      <w:r>
        <w:rPr>
          <w:rFonts w:cs="宋体"/>
          <w:bCs/>
        </w:rPr>
        <w:t>15</w:t>
      </w:r>
      <w:r>
        <w:rPr>
          <w:rFonts w:hint="eastAsia" w:cs="宋体"/>
          <w:bCs/>
        </w:rPr>
        <w:t>分）：在满足第二档的情况下，</w:t>
      </w:r>
      <w:r>
        <w:rPr>
          <w:rFonts w:hint="eastAsia" w:cs="宋体"/>
          <w:bCs/>
          <w:lang w:eastAsia="zh-CN"/>
        </w:rPr>
        <w:t>提供</w:t>
      </w:r>
      <w:r>
        <w:rPr>
          <w:rFonts w:hint="eastAsia" w:cs="宋体"/>
          <w:bCs/>
          <w:lang w:val="en-US" w:eastAsia="zh-CN"/>
        </w:rPr>
        <w:t>CDN平台服务能力，CDN网站加速、下载加速、点播加速及直播加速四个板块解决方案，详述媒体点播缓存、IPV6加速、动态带宽调整等功能。</w:t>
      </w:r>
    </w:p>
    <w:p>
      <w:pPr>
        <w:spacing w:line="360" w:lineRule="auto"/>
        <w:ind w:firstLine="482"/>
        <w:rPr>
          <w:rFonts w:hint="eastAsia" w:eastAsia="宋体" w:cs="宋体"/>
          <w:bCs/>
        </w:rPr>
      </w:pPr>
      <w:r>
        <w:rPr>
          <w:rFonts w:hint="eastAsia" w:eastAsia="宋体" w:cs="宋体"/>
          <w:bCs/>
        </w:rPr>
        <w:t>四档（20分）：在满足第三档的情况下</w:t>
      </w:r>
      <w:r>
        <w:rPr>
          <w:rFonts w:hint="eastAsia" w:eastAsia="宋体" w:cs="宋体"/>
          <w:bCs/>
          <w:lang w:eastAsia="zh-CN"/>
        </w:rPr>
        <w:t>，提供CDN智能运维平台告警监控功能，实现7*24小时全方位实时监控（需提供使用的</w:t>
      </w:r>
      <w:r>
        <w:rPr>
          <w:rFonts w:hint="eastAsia" w:eastAsia="宋体" w:cs="宋体"/>
          <w:bCs/>
          <w:lang w:val="en-US" w:eastAsia="zh-CN"/>
        </w:rPr>
        <w:t>CDN平台</w:t>
      </w:r>
      <w:r>
        <w:rPr>
          <w:rFonts w:hint="eastAsia"/>
          <w:highlight w:val="none"/>
        </w:rPr>
        <w:t>相关软件著作权的证明材料</w:t>
      </w:r>
      <w:r>
        <w:rPr>
          <w:rFonts w:hint="eastAsia" w:eastAsia="宋体" w:cs="宋体"/>
          <w:bCs/>
          <w:lang w:eastAsia="zh-CN"/>
        </w:rPr>
        <w:t>）；CDN应采用EDNS0</w:t>
      </w:r>
      <w:r>
        <w:rPr>
          <w:rFonts w:hint="eastAsia" w:cs="宋体"/>
          <w:bCs/>
          <w:lang w:eastAsia="zh-CN"/>
        </w:rPr>
        <w:t>技术</w:t>
      </w:r>
      <w:r>
        <w:rPr>
          <w:rFonts w:hint="eastAsia" w:eastAsia="宋体" w:cs="宋体"/>
          <w:bCs/>
          <w:lang w:eastAsia="zh-CN"/>
        </w:rPr>
        <w:t>,</w:t>
      </w:r>
      <w:r>
        <w:rPr>
          <w:rFonts w:hint="eastAsia" w:cs="宋体"/>
          <w:bCs/>
          <w:lang w:eastAsia="zh-CN"/>
        </w:rPr>
        <w:t>保障可</w:t>
      </w:r>
      <w:r>
        <w:rPr>
          <w:rFonts w:hint="eastAsia" w:eastAsia="宋体" w:cs="宋体"/>
          <w:bCs/>
          <w:lang w:eastAsia="zh-CN"/>
        </w:rPr>
        <w:t>一步调度到地市县</w:t>
      </w:r>
      <w:r>
        <w:rPr>
          <w:rFonts w:hint="eastAsia" w:cs="宋体"/>
          <w:bCs/>
          <w:lang w:eastAsia="zh-CN"/>
        </w:rPr>
        <w:t>，实现超低时延精准匹配；</w:t>
      </w:r>
      <w:r>
        <w:rPr>
          <w:rFonts w:hint="eastAsia" w:eastAsia="宋体" w:cs="宋体"/>
          <w:bCs/>
        </w:rPr>
        <w:t>说明</w:t>
      </w:r>
      <w:r>
        <w:rPr>
          <w:rFonts w:hint="eastAsia" w:eastAsia="宋体" w:cs="宋体"/>
          <w:bCs/>
          <w:lang w:eastAsia="zh-CN"/>
        </w:rPr>
        <w:t>融合接入</w:t>
      </w:r>
      <w:r>
        <w:rPr>
          <w:rFonts w:hint="eastAsia" w:eastAsia="宋体" w:cs="宋体"/>
          <w:bCs/>
        </w:rPr>
        <w:t>组网结构及所用分组传送设备（提供工信部电信设备入网许可），网络设备支持CES业务、L3VPN业务（静态、动态）、L2VPN业务（含E-Line/E-LAN/E-TREE）等多种业务模型的原理和实现方式的（提供证明材料）。</w:t>
      </w:r>
    </w:p>
    <w:p>
      <w:pPr>
        <w:pStyle w:val="8"/>
        <w:rPr>
          <w:rFonts w:hint="eastAsia" w:eastAsia="宋体" w:cs="宋体"/>
          <w:bCs/>
        </w:rPr>
      </w:pPr>
    </w:p>
    <w:p>
      <w:pPr>
        <w:spacing w:line="240" w:lineRule="auto"/>
        <w:ind w:firstLine="482"/>
        <w:rPr>
          <w:rFonts w:cs="宋体"/>
          <w:bCs/>
          <w:color w:val="auto"/>
        </w:rPr>
      </w:pPr>
      <w:r>
        <w:rPr>
          <w:rFonts w:hint="eastAsia" w:cs="宋体"/>
          <w:b/>
          <w:bCs/>
          <w:color w:val="auto"/>
        </w:rPr>
        <w:t>（2）</w:t>
      </w:r>
      <w:r>
        <w:rPr>
          <w:rFonts w:hint="eastAsia" w:cs="宋体"/>
          <w:b/>
          <w:bCs/>
          <w:color w:val="auto"/>
          <w:lang w:eastAsia="zh-CN"/>
        </w:rPr>
        <w:t>项目</w:t>
      </w:r>
      <w:r>
        <w:rPr>
          <w:rFonts w:hint="eastAsia" w:cs="宋体"/>
          <w:b/>
          <w:bCs/>
          <w:color w:val="auto"/>
        </w:rPr>
        <w:t>实施方案分（满分2</w:t>
      </w:r>
      <w:r>
        <w:rPr>
          <w:rFonts w:hint="eastAsia" w:cs="宋体"/>
          <w:b/>
          <w:bCs/>
          <w:color w:val="auto"/>
          <w:lang w:val="en-US" w:eastAsia="zh-CN"/>
        </w:rPr>
        <w:t>0</w:t>
      </w:r>
      <w:r>
        <w:rPr>
          <w:rFonts w:hint="eastAsia" w:cs="宋体"/>
          <w:b/>
          <w:bCs/>
          <w:color w:val="auto"/>
        </w:rPr>
        <w:t>分）</w:t>
      </w:r>
    </w:p>
    <w:p>
      <w:pPr>
        <w:spacing w:line="360" w:lineRule="auto"/>
        <w:ind w:firstLine="480"/>
        <w:rPr>
          <w:rFonts w:cs="宋体"/>
          <w:bCs/>
          <w:color w:val="auto"/>
        </w:rPr>
      </w:pPr>
      <w:r>
        <w:rPr>
          <w:rFonts w:hint="eastAsia" w:cs="宋体"/>
          <w:bCs/>
          <w:color w:val="auto"/>
        </w:rPr>
        <w:t>由评委根据投标人的工程实施方案优劣独立打分，以下各项以得分最高的计分，不重复得分，不能达到一档要求的得0分。</w:t>
      </w:r>
    </w:p>
    <w:p>
      <w:pPr>
        <w:spacing w:line="360" w:lineRule="auto"/>
        <w:ind w:firstLine="482"/>
        <w:rPr>
          <w:rFonts w:hint="eastAsia" w:cs="宋体"/>
          <w:b w:val="0"/>
          <w:bCs w:val="0"/>
          <w:color w:val="auto"/>
        </w:rPr>
      </w:pPr>
      <w:r>
        <w:rPr>
          <w:rFonts w:hint="eastAsia" w:cs="宋体"/>
          <w:b w:val="0"/>
          <w:bCs w:val="0"/>
          <w:color w:val="auto"/>
        </w:rPr>
        <w:t xml:space="preserve">一档（5 分）：项目实施方案提供简单的技术实施方法和思路，有项目实施管理的措施，但可行性低，项目实施方案内容满足采购需求。 </w:t>
      </w:r>
    </w:p>
    <w:p>
      <w:pPr>
        <w:spacing w:line="360" w:lineRule="auto"/>
        <w:ind w:firstLine="482"/>
        <w:rPr>
          <w:rFonts w:hint="eastAsia" w:cs="宋体"/>
          <w:b w:val="0"/>
          <w:bCs w:val="0"/>
          <w:color w:val="auto"/>
        </w:rPr>
      </w:pPr>
      <w:r>
        <w:rPr>
          <w:rFonts w:hint="eastAsia" w:cs="宋体"/>
          <w:b w:val="0"/>
          <w:bCs w:val="0"/>
          <w:color w:val="auto"/>
        </w:rPr>
        <w:t>二档（10 分）：项目实施方案提供具体的技术方法和思路，项目实施方案内容满足采购需求，提供详细的项目实施管理、实施组织机构、项目实施进度计划和工期保证措施、项目</w:t>
      </w:r>
      <w:r>
        <w:rPr>
          <w:rFonts w:hint="eastAsia" w:cs="宋体"/>
          <w:b w:val="0"/>
          <w:bCs w:val="0"/>
          <w:color w:val="auto"/>
          <w:lang w:eastAsia="zh-CN"/>
        </w:rPr>
        <w:t>实施</w:t>
      </w:r>
      <w:r>
        <w:rPr>
          <w:rFonts w:hint="eastAsia" w:cs="宋体"/>
          <w:b w:val="0"/>
          <w:bCs w:val="0"/>
          <w:color w:val="auto"/>
        </w:rPr>
        <w:t xml:space="preserve">执行步骤和措施清晰明了，项目实施方案思路可行。 </w:t>
      </w:r>
    </w:p>
    <w:p>
      <w:pPr>
        <w:spacing w:line="360" w:lineRule="auto"/>
        <w:ind w:firstLine="482"/>
        <w:rPr>
          <w:rFonts w:hint="eastAsia" w:cs="宋体"/>
          <w:b w:val="0"/>
          <w:bCs w:val="0"/>
          <w:color w:val="auto"/>
        </w:rPr>
      </w:pPr>
      <w:r>
        <w:rPr>
          <w:rFonts w:hint="eastAsia" w:cs="宋体"/>
          <w:b w:val="0"/>
          <w:bCs w:val="0"/>
          <w:color w:val="auto"/>
        </w:rPr>
        <w:t>三档（15 分）：项目实施方案提供具体的技术方法和思路，项目实施方案内容满足采购需求，提供详细可行的项目实施管理、实施组织机构、项目实施进度计划和工期保证措施、项目</w:t>
      </w:r>
      <w:r>
        <w:rPr>
          <w:rFonts w:hint="eastAsia" w:cs="宋体"/>
          <w:b w:val="0"/>
          <w:bCs w:val="0"/>
          <w:color w:val="auto"/>
          <w:lang w:eastAsia="zh-CN"/>
        </w:rPr>
        <w:t>实施</w:t>
      </w:r>
      <w:r>
        <w:rPr>
          <w:rFonts w:hint="eastAsia" w:cs="宋体"/>
          <w:b w:val="0"/>
          <w:bCs w:val="0"/>
          <w:color w:val="auto"/>
        </w:rPr>
        <w:t>执行步骤和措施清晰明了，有质量管理保证及控制管理方案</w:t>
      </w:r>
      <w:r>
        <w:rPr>
          <w:rFonts w:hint="eastAsia" w:cs="宋体"/>
          <w:b w:val="0"/>
          <w:bCs w:val="0"/>
          <w:color w:val="auto"/>
          <w:lang w:eastAsia="zh-CN"/>
        </w:rPr>
        <w:t>及</w:t>
      </w:r>
      <w:r>
        <w:rPr>
          <w:rFonts w:hint="eastAsia" w:cs="宋体"/>
          <w:b w:val="0"/>
          <w:bCs w:val="0"/>
          <w:color w:val="auto"/>
        </w:rPr>
        <w:t>项目应急预案，项目实施方案思路切合项目实际。</w:t>
      </w:r>
    </w:p>
    <w:p>
      <w:pPr>
        <w:spacing w:line="360" w:lineRule="auto"/>
        <w:ind w:firstLine="482"/>
        <w:rPr>
          <w:rFonts w:hint="eastAsia" w:cs="宋体"/>
          <w:b w:val="0"/>
          <w:bCs w:val="0"/>
          <w:color w:val="auto"/>
        </w:rPr>
      </w:pPr>
      <w:r>
        <w:rPr>
          <w:rFonts w:hint="eastAsia" w:cs="宋体"/>
          <w:b w:val="0"/>
          <w:bCs w:val="0"/>
          <w:color w:val="auto"/>
        </w:rPr>
        <w:t>四档（20 分）：项目实施方案提供具体的、贴合项目实际的技术方法和思路，项目实施方案内容满足采购需求，满足三挡基础上提供CDN系统实施上线方案</w:t>
      </w:r>
      <w:r>
        <w:rPr>
          <w:rFonts w:hint="eastAsia" w:cs="宋体"/>
          <w:b w:val="0"/>
          <w:bCs w:val="0"/>
          <w:color w:val="auto"/>
          <w:lang w:eastAsia="zh-CN"/>
        </w:rPr>
        <w:t>、CDN系统测试方案、风险控制措施、项目实施质量保障</w:t>
      </w:r>
      <w:r>
        <w:rPr>
          <w:rFonts w:hint="eastAsia" w:cs="宋体"/>
          <w:b w:val="0"/>
          <w:bCs w:val="0"/>
          <w:color w:val="auto"/>
        </w:rPr>
        <w:t>等方面的内容描述。</w:t>
      </w:r>
    </w:p>
    <w:p>
      <w:pPr>
        <w:spacing w:line="360" w:lineRule="auto"/>
        <w:ind w:firstLine="482"/>
        <w:rPr>
          <w:rFonts w:cs="宋体"/>
          <w:b/>
          <w:bCs/>
          <w:color w:val="auto"/>
        </w:rPr>
      </w:pPr>
      <w:r>
        <w:rPr>
          <w:rFonts w:hint="eastAsia" w:cs="宋体"/>
          <w:b/>
          <w:bCs/>
          <w:color w:val="auto"/>
        </w:rPr>
        <w:t>3.商务分……………………………………………………………………</w:t>
      </w:r>
      <w:r>
        <w:rPr>
          <w:rFonts w:hint="eastAsia" w:cs="宋体"/>
          <w:b/>
          <w:bCs/>
          <w:color w:val="auto"/>
          <w:lang w:val="en-US" w:eastAsia="zh-CN"/>
        </w:rPr>
        <w:t>40</w:t>
      </w:r>
      <w:r>
        <w:rPr>
          <w:rFonts w:hint="eastAsia" w:cs="宋体"/>
          <w:b/>
          <w:bCs/>
          <w:color w:val="auto"/>
        </w:rPr>
        <w:t>分</w:t>
      </w:r>
    </w:p>
    <w:bookmarkEnd w:id="4"/>
    <w:p>
      <w:pPr>
        <w:spacing w:line="360" w:lineRule="auto"/>
        <w:ind w:firstLine="480"/>
        <w:rPr>
          <w:rFonts w:cs="宋体"/>
          <w:color w:val="auto"/>
        </w:rPr>
      </w:pPr>
      <w:r>
        <w:rPr>
          <w:rFonts w:hint="eastAsia" w:cs="宋体"/>
          <w:bCs/>
          <w:color w:val="auto"/>
        </w:rPr>
        <w:t>（</w:t>
      </w:r>
      <w:r>
        <w:rPr>
          <w:rFonts w:hint="eastAsia" w:cs="宋体"/>
          <w:bCs/>
          <w:color w:val="auto"/>
          <w:lang w:val="en-US" w:eastAsia="zh-CN"/>
        </w:rPr>
        <w:t>1</w:t>
      </w:r>
      <w:r>
        <w:rPr>
          <w:rFonts w:hint="eastAsia" w:cs="宋体"/>
          <w:bCs/>
          <w:color w:val="auto"/>
        </w:rPr>
        <w:t>）</w:t>
      </w:r>
      <w:r>
        <w:rPr>
          <w:rFonts w:hint="eastAsia" w:cs="宋体"/>
          <w:color w:val="auto"/>
        </w:rPr>
        <w:t>投标人</w:t>
      </w:r>
      <w:r>
        <w:rPr>
          <w:rFonts w:hint="eastAsia" w:cs="宋体"/>
          <w:color w:val="auto"/>
          <w:lang w:eastAsia="zh-CN"/>
        </w:rPr>
        <w:t>或其上级机构</w:t>
      </w:r>
      <w:r>
        <w:rPr>
          <w:rFonts w:hint="eastAsia" w:cs="宋体"/>
          <w:bCs/>
          <w:color w:val="auto"/>
        </w:rPr>
        <w:t>具备ITSS信息技术服务标准符合性证书三级或以上的，具备CS信息系统建设和服务能力等级证书基本级（CS2）或以上的（投标时提供相关证</w:t>
      </w:r>
      <w:r>
        <w:rPr>
          <w:rFonts w:hint="eastAsia" w:cs="宋体"/>
          <w:color w:val="auto"/>
        </w:rPr>
        <w:t>书复印件），每项得3分，满分6分。</w:t>
      </w:r>
    </w:p>
    <w:p>
      <w:pPr>
        <w:spacing w:line="360" w:lineRule="auto"/>
        <w:ind w:firstLine="480"/>
        <w:rPr>
          <w:rFonts w:hint="eastAsia" w:cs="宋体"/>
          <w:color w:val="auto"/>
        </w:rPr>
      </w:pPr>
      <w:r>
        <w:rPr>
          <w:rFonts w:hint="eastAsia" w:cs="宋体"/>
          <w:color w:val="auto"/>
        </w:rPr>
        <w:t>（</w:t>
      </w:r>
      <w:r>
        <w:rPr>
          <w:rFonts w:hint="eastAsia" w:cs="宋体"/>
          <w:color w:val="auto"/>
          <w:lang w:val="en-US" w:eastAsia="zh-CN"/>
        </w:rPr>
        <w:t>2</w:t>
      </w:r>
      <w:r>
        <w:rPr>
          <w:rFonts w:hint="eastAsia" w:cs="宋体"/>
          <w:color w:val="auto"/>
        </w:rPr>
        <w:t>）为保障项目顺利实施，投标人</w:t>
      </w:r>
      <w:r>
        <w:rPr>
          <w:rFonts w:hint="eastAsia" w:cs="宋体"/>
          <w:color w:val="auto"/>
          <w:lang w:eastAsia="zh-CN"/>
        </w:rPr>
        <w:t>或其上级机构</w:t>
      </w:r>
      <w:r>
        <w:rPr>
          <w:rFonts w:hint="eastAsia" w:cs="宋体"/>
          <w:color w:val="auto"/>
        </w:rPr>
        <w:t>获得 ISO 37301:2021 合规管理体系认证证书的，得 3 分（提供相关证书复印件，要求证书清晰、完整显示投标人名称，并加盖投标人公章，否则不得分）。</w:t>
      </w:r>
    </w:p>
    <w:p>
      <w:pPr>
        <w:spacing w:line="360" w:lineRule="auto"/>
        <w:ind w:firstLine="480"/>
        <w:rPr>
          <w:rFonts w:hint="eastAsia" w:cs="宋体"/>
          <w:color w:val="auto"/>
        </w:rPr>
      </w:pPr>
      <w:r>
        <w:rPr>
          <w:rFonts w:hint="eastAsia" w:cs="宋体"/>
          <w:color w:val="auto"/>
          <w:lang w:eastAsia="zh-CN"/>
        </w:rPr>
        <w:t>（</w:t>
      </w:r>
      <w:r>
        <w:rPr>
          <w:rFonts w:hint="eastAsia" w:cs="宋体"/>
          <w:color w:val="auto"/>
          <w:lang w:val="en-US" w:eastAsia="zh-CN"/>
        </w:rPr>
        <w:t>3</w:t>
      </w:r>
      <w:r>
        <w:rPr>
          <w:rFonts w:hint="eastAsia" w:cs="宋体"/>
          <w:color w:val="auto"/>
          <w:lang w:eastAsia="zh-CN"/>
        </w:rPr>
        <w:t>）</w:t>
      </w:r>
      <w:r>
        <w:rPr>
          <w:rFonts w:hint="eastAsia" w:cs="宋体"/>
          <w:color w:val="auto"/>
        </w:rPr>
        <w:t>投标人</w:t>
      </w:r>
      <w:r>
        <w:rPr>
          <w:rFonts w:hint="eastAsia" w:cs="宋体"/>
          <w:color w:val="auto"/>
          <w:lang w:eastAsia="zh-CN"/>
        </w:rPr>
        <w:t>或其上级机构</w:t>
      </w:r>
      <w:r>
        <w:rPr>
          <w:rFonts w:hint="eastAsia" w:cs="宋体"/>
          <w:color w:val="auto"/>
        </w:rPr>
        <w:t>获得 GB/T 27922-2011 售后服务认证证书（认证范围：通信、IP电话和互联网的网络设计、建设），</w:t>
      </w:r>
      <w:r>
        <w:rPr>
          <w:rFonts w:hint="eastAsia" w:cs="宋体"/>
          <w:color w:val="auto"/>
          <w:lang w:eastAsia="zh-CN"/>
        </w:rPr>
        <w:t>三</w:t>
      </w:r>
      <w:r>
        <w:rPr>
          <w:rFonts w:hint="eastAsia" w:cs="宋体"/>
          <w:color w:val="auto"/>
        </w:rPr>
        <w:t>星证书得1分，</w:t>
      </w:r>
      <w:r>
        <w:rPr>
          <w:rFonts w:hint="eastAsia" w:cs="宋体"/>
          <w:color w:val="auto"/>
          <w:lang w:eastAsia="zh-CN"/>
        </w:rPr>
        <w:t>四</w:t>
      </w:r>
      <w:r>
        <w:rPr>
          <w:rFonts w:hint="eastAsia" w:cs="宋体"/>
          <w:color w:val="auto"/>
        </w:rPr>
        <w:t>星证书得2分，</w:t>
      </w:r>
      <w:r>
        <w:rPr>
          <w:rFonts w:hint="eastAsia" w:cs="宋体"/>
          <w:color w:val="auto"/>
          <w:lang w:eastAsia="zh-CN"/>
        </w:rPr>
        <w:t>五</w:t>
      </w:r>
      <w:r>
        <w:rPr>
          <w:rFonts w:hint="eastAsia" w:cs="宋体"/>
          <w:color w:val="auto"/>
        </w:rPr>
        <w:t>星得3分；满分3 分（提供相关证书复印件，要求证书清晰、完整显示投标人名称，并加盖投标人公章，否则不得分）。</w:t>
      </w:r>
    </w:p>
    <w:p>
      <w:pPr>
        <w:spacing w:line="360" w:lineRule="auto"/>
        <w:ind w:firstLine="480"/>
        <w:rPr>
          <w:rFonts w:hint="eastAsia" w:cs="宋体"/>
          <w:color w:val="auto"/>
        </w:rPr>
      </w:pPr>
      <w:r>
        <w:rPr>
          <w:rFonts w:hint="eastAsia" w:cs="宋体"/>
          <w:color w:val="auto"/>
        </w:rPr>
        <w:t>（</w:t>
      </w:r>
      <w:r>
        <w:rPr>
          <w:rFonts w:hint="eastAsia" w:cs="宋体"/>
          <w:color w:val="auto"/>
          <w:lang w:val="en-US" w:eastAsia="zh-CN"/>
        </w:rPr>
        <w:t>4</w:t>
      </w:r>
      <w:r>
        <w:rPr>
          <w:rFonts w:hint="eastAsia" w:cs="宋体"/>
          <w:color w:val="auto"/>
        </w:rPr>
        <w:t>）投标人</w:t>
      </w:r>
      <w:r>
        <w:rPr>
          <w:rFonts w:hint="eastAsia" w:cs="宋体"/>
          <w:color w:val="auto"/>
          <w:lang w:eastAsia="zh-CN"/>
        </w:rPr>
        <w:t>或其上级机构</w:t>
      </w:r>
      <w:r>
        <w:rPr>
          <w:rFonts w:hint="eastAsia" w:cs="宋体"/>
          <w:color w:val="auto"/>
        </w:rPr>
        <w:t>所采用</w:t>
      </w:r>
      <w:r>
        <w:rPr>
          <w:rFonts w:hint="eastAsia" w:cs="宋体"/>
          <w:color w:val="auto"/>
          <w:lang w:eastAsia="zh-CN"/>
        </w:rPr>
        <w:t>接入网络</w:t>
      </w:r>
      <w:r>
        <w:rPr>
          <w:rFonts w:hint="eastAsia" w:cs="宋体"/>
          <w:color w:val="auto"/>
        </w:rPr>
        <w:t>自有的分组传送网技术获得过省部级奖励的，得</w:t>
      </w:r>
      <w:r>
        <w:rPr>
          <w:rFonts w:cs="宋体"/>
          <w:color w:val="auto"/>
        </w:rPr>
        <w:t>2</w:t>
      </w:r>
      <w:r>
        <w:rPr>
          <w:rFonts w:hint="eastAsia" w:cs="宋体"/>
          <w:color w:val="auto"/>
        </w:rPr>
        <w:t>分；获得过国家级奖励的（投标时提供获奖证书复印件），得</w:t>
      </w:r>
      <w:r>
        <w:rPr>
          <w:rFonts w:cs="宋体"/>
          <w:color w:val="auto"/>
        </w:rPr>
        <w:t>4</w:t>
      </w:r>
      <w:r>
        <w:rPr>
          <w:rFonts w:hint="eastAsia" w:cs="宋体"/>
          <w:color w:val="auto"/>
        </w:rPr>
        <w:t>分，满分</w:t>
      </w:r>
      <w:r>
        <w:rPr>
          <w:rFonts w:cs="宋体"/>
          <w:color w:val="auto"/>
        </w:rPr>
        <w:t>4</w:t>
      </w:r>
      <w:r>
        <w:rPr>
          <w:rFonts w:hint="eastAsia" w:cs="宋体"/>
          <w:color w:val="auto"/>
        </w:rPr>
        <w:t>分。</w:t>
      </w:r>
    </w:p>
    <w:p>
      <w:pPr>
        <w:spacing w:line="360" w:lineRule="auto"/>
        <w:ind w:firstLine="480"/>
        <w:rPr>
          <w:color w:val="auto"/>
        </w:rPr>
      </w:pPr>
      <w:r>
        <w:rPr>
          <w:rFonts w:hint="eastAsia" w:cs="宋体"/>
          <w:bCs/>
          <w:color w:val="auto"/>
        </w:rPr>
        <w:t>（</w:t>
      </w:r>
      <w:r>
        <w:rPr>
          <w:rFonts w:hint="eastAsia" w:cs="宋体"/>
          <w:bCs/>
          <w:color w:val="auto"/>
          <w:lang w:val="en-US" w:eastAsia="zh-CN"/>
        </w:rPr>
        <w:t>5</w:t>
      </w:r>
      <w:r>
        <w:rPr>
          <w:rFonts w:hint="eastAsia" w:cs="宋体"/>
          <w:bCs/>
          <w:color w:val="auto"/>
        </w:rPr>
        <w:t>）</w:t>
      </w:r>
      <w:r>
        <w:rPr>
          <w:rFonts w:hint="eastAsia" w:cs="宋体"/>
          <w:bCs/>
          <w:color w:val="auto"/>
          <w:lang w:eastAsia="zh-CN"/>
        </w:rPr>
        <w:t>业绩</w:t>
      </w:r>
      <w:r>
        <w:rPr>
          <w:rFonts w:hint="eastAsia" w:cs="宋体"/>
          <w:bCs/>
          <w:color w:val="auto"/>
        </w:rPr>
        <w:t>分（满分18分）</w:t>
      </w:r>
      <w:r>
        <w:rPr>
          <w:rFonts w:hint="eastAsia" w:cs="宋体"/>
          <w:bCs/>
          <w:color w:val="auto"/>
          <w:lang w:eastAsia="zh-CN"/>
        </w:rPr>
        <w:t>：提供</w:t>
      </w:r>
      <w:r>
        <w:rPr>
          <w:rFonts w:hint="eastAsia"/>
          <w:color w:val="auto"/>
          <w:highlight w:val="none"/>
          <w:lang w:eastAsia="zh-CN"/>
        </w:rPr>
        <w:t>投标人所使用</w:t>
      </w:r>
      <w:r>
        <w:rPr>
          <w:rFonts w:hint="eastAsia"/>
          <w:color w:val="auto"/>
          <w:highlight w:val="none"/>
          <w:lang w:val="en-US" w:eastAsia="zh-CN"/>
        </w:rPr>
        <w:t>CDN网络</w:t>
      </w:r>
      <w:r>
        <w:rPr>
          <w:rFonts w:hint="eastAsia"/>
          <w:color w:val="auto"/>
          <w:highlight w:val="none"/>
        </w:rPr>
        <w:t>近三年</w:t>
      </w:r>
      <w:r>
        <w:rPr>
          <w:rFonts w:hint="eastAsia"/>
          <w:color w:val="auto"/>
          <w:highlight w:val="none"/>
          <w:lang w:eastAsia="zh-CN"/>
        </w:rPr>
        <w:t>在</w:t>
      </w:r>
      <w:r>
        <w:rPr>
          <w:rFonts w:hint="eastAsia"/>
          <w:color w:val="auto"/>
          <w:highlight w:val="none"/>
        </w:rPr>
        <w:t>相关媒体网站、客户端、报社、杂志、广电等媒体行业客户提供加速服务的业绩及经验等证明材料</w:t>
      </w:r>
      <w:r>
        <w:rPr>
          <w:rFonts w:hint="eastAsia"/>
          <w:color w:val="auto"/>
          <w:highlight w:val="none"/>
          <w:lang w:eastAsia="zh-CN"/>
        </w:rPr>
        <w:t>，每项得</w:t>
      </w:r>
      <w:r>
        <w:rPr>
          <w:rFonts w:hint="eastAsia"/>
          <w:color w:val="auto"/>
          <w:highlight w:val="none"/>
          <w:lang w:val="en-US" w:eastAsia="zh-CN"/>
        </w:rPr>
        <w:t>1分，满分6分。</w:t>
      </w:r>
    </w:p>
    <w:p>
      <w:pPr>
        <w:spacing w:line="360" w:lineRule="auto"/>
        <w:ind w:firstLine="480"/>
        <w:rPr>
          <w:rFonts w:cs="宋体"/>
          <w:bCs/>
          <w:color w:val="auto"/>
        </w:rPr>
      </w:pPr>
      <w:r>
        <w:rPr>
          <w:rFonts w:hint="eastAsia" w:cs="宋体"/>
          <w:bCs/>
          <w:color w:val="auto"/>
        </w:rPr>
        <w:t>（</w:t>
      </w:r>
      <w:r>
        <w:rPr>
          <w:rFonts w:hint="eastAsia" w:cs="宋体"/>
          <w:bCs/>
          <w:color w:val="auto"/>
          <w:lang w:val="en-US" w:eastAsia="zh-CN"/>
        </w:rPr>
        <w:t>6</w:t>
      </w:r>
      <w:r>
        <w:rPr>
          <w:rFonts w:hint="eastAsia" w:cs="宋体"/>
          <w:bCs/>
          <w:color w:val="auto"/>
        </w:rPr>
        <w:t>）售后服务方案分（满分18分）</w:t>
      </w:r>
    </w:p>
    <w:p>
      <w:pPr>
        <w:spacing w:line="360" w:lineRule="auto"/>
        <w:ind w:firstLine="480"/>
        <w:rPr>
          <w:rFonts w:cs="宋体"/>
          <w:bCs/>
          <w:color w:val="auto"/>
        </w:rPr>
      </w:pPr>
      <w:r>
        <w:rPr>
          <w:rFonts w:hint="eastAsia" w:cs="宋体"/>
          <w:bCs/>
          <w:color w:val="auto"/>
        </w:rPr>
        <w:t>由评委根据投标人的售后服务方案优劣独立打分，以下各项以得分最高的计分，不重复得分，不能达到一档要求的得0分。</w:t>
      </w:r>
    </w:p>
    <w:p>
      <w:pPr>
        <w:spacing w:line="360" w:lineRule="auto"/>
        <w:ind w:firstLine="480"/>
        <w:rPr>
          <w:rFonts w:cs="宋体"/>
          <w:bCs/>
          <w:color w:val="auto"/>
        </w:rPr>
      </w:pPr>
      <w:r>
        <w:rPr>
          <w:rFonts w:hint="eastAsia" w:cs="宋体"/>
          <w:bCs/>
          <w:color w:val="auto"/>
        </w:rPr>
        <w:t>一档（6分）：售后服务方案满足采购需求，服务响应体系、 组织架构、服务流程不清晰，培训方案针对性差、培训方式不明确， 故障响应及达到故障现场时间基本满足采购要求</w:t>
      </w:r>
      <w:r>
        <w:rPr>
          <w:rFonts w:hint="eastAsia" w:cs="宋体"/>
          <w:bCs/>
          <w:color w:val="auto"/>
          <w:lang w:eastAsia="zh-CN"/>
        </w:rPr>
        <w:t>的</w:t>
      </w:r>
      <w:r>
        <w:rPr>
          <w:rFonts w:hint="eastAsia" w:cs="宋体"/>
          <w:bCs/>
          <w:color w:val="auto"/>
        </w:rPr>
        <w:t xml:space="preserve">。 </w:t>
      </w:r>
    </w:p>
    <w:p>
      <w:pPr>
        <w:spacing w:line="360" w:lineRule="auto"/>
        <w:ind w:firstLine="480"/>
        <w:rPr>
          <w:rFonts w:hint="eastAsia" w:cs="宋体"/>
          <w:bCs/>
          <w:color w:val="auto"/>
        </w:rPr>
      </w:pPr>
      <w:r>
        <w:rPr>
          <w:rFonts w:hint="eastAsia" w:cs="宋体"/>
          <w:bCs/>
          <w:color w:val="auto"/>
        </w:rPr>
        <w:t>二档（12分）：</w:t>
      </w:r>
      <w:r>
        <w:rPr>
          <w:rFonts w:hint="eastAsia" w:hAnsi="宋体"/>
          <w:bCs/>
          <w:color w:val="auto"/>
          <w:vertAlign w:val="baseline"/>
          <w:lang w:eastAsia="zh-CN"/>
        </w:rPr>
        <w:t xml:space="preserve">售后服务方案满足采购需求，具有可靠的服务响应体系，组织架构设置基本完整、服务流程基本清晰、培训方案针对性基本贴合项目实际、培训方式可行，提供项目维护解决方案的。 </w:t>
      </w:r>
    </w:p>
    <w:p>
      <w:pPr>
        <w:spacing w:line="360" w:lineRule="auto"/>
        <w:ind w:firstLine="480"/>
        <w:rPr>
          <w:rFonts w:cs="宋体"/>
          <w:bCs/>
          <w:color w:val="auto"/>
        </w:rPr>
      </w:pPr>
      <w:r>
        <w:rPr>
          <w:rFonts w:hint="eastAsia" w:cs="宋体"/>
          <w:bCs/>
          <w:color w:val="auto"/>
        </w:rPr>
        <w:t>三档（18分）：</w:t>
      </w:r>
      <w:r>
        <w:rPr>
          <w:rFonts w:hint="eastAsia" w:hAnsi="宋体"/>
          <w:bCs/>
          <w:color w:val="auto"/>
          <w:vertAlign w:val="baseline"/>
          <w:lang w:eastAsia="zh-CN"/>
        </w:rPr>
        <w:t>售后服务方案优于采购需求，具有具体、完善、可靠的服务响应体系，组织架构设置完整、服务流程清晰、培训方案针对性强，提供服务保障支持计划、CDN系统运行维护方案、CDN系统应急保障方案，提供一站式、全面、专业的电信级运维保障能力，在本地具备省市县三级售后服务机构</w:t>
      </w:r>
      <w:r>
        <w:rPr>
          <w:rFonts w:hint="eastAsia" w:cs="宋体"/>
          <w:bCs/>
          <w:color w:val="auto"/>
        </w:rPr>
        <w:t>（投标时提供在</w:t>
      </w:r>
      <w:r>
        <w:rPr>
          <w:rFonts w:hint="eastAsia" w:cs="宋体"/>
          <w:bCs/>
          <w:color w:val="auto"/>
          <w:lang w:eastAsia="zh-CN"/>
        </w:rPr>
        <w:t>南宁辖区内</w:t>
      </w:r>
      <w:r>
        <w:rPr>
          <w:rFonts w:hint="eastAsia" w:cs="宋体"/>
          <w:bCs/>
          <w:color w:val="auto"/>
        </w:rPr>
        <w:t>的</w:t>
      </w:r>
      <w:r>
        <w:rPr>
          <w:rFonts w:hint="eastAsia" w:cs="宋体"/>
          <w:bCs/>
          <w:color w:val="auto"/>
          <w:lang w:eastAsia="zh-CN"/>
        </w:rPr>
        <w:t>省市县</w:t>
      </w:r>
      <w:r>
        <w:rPr>
          <w:rFonts w:hint="eastAsia" w:cs="宋体"/>
          <w:bCs/>
          <w:color w:val="auto"/>
        </w:rPr>
        <w:t>售后服务机构营业执照副本复印件）</w:t>
      </w:r>
      <w:r>
        <w:rPr>
          <w:rFonts w:hint="eastAsia" w:cs="宋体"/>
          <w:bCs/>
          <w:color w:val="auto"/>
          <w:lang w:eastAsia="zh-CN"/>
        </w:rPr>
        <w:t>的</w:t>
      </w:r>
      <w:r>
        <w:rPr>
          <w:rFonts w:hint="eastAsia" w:hAnsi="宋体"/>
          <w:bCs/>
          <w:color w:val="auto"/>
          <w:vertAlign w:val="baseline"/>
          <w:lang w:eastAsia="zh-CN"/>
        </w:rPr>
        <w:t>。</w:t>
      </w:r>
    </w:p>
    <w:p>
      <w:pPr>
        <w:rPr>
          <w:rFonts w:hint="eastAsia" w:ascii="Times New Roman" w:hAnsi="Times New Roman"/>
          <w:b/>
          <w:sz w:val="36"/>
        </w:rPr>
      </w:pPr>
      <w:bookmarkStart w:id="5" w:name="_Toc532545044"/>
      <w:r>
        <w:rPr>
          <w:rFonts w:hint="eastAsia" w:ascii="Times New Roman" w:hAnsi="Times New Roman"/>
          <w:b/>
          <w:sz w:val="36"/>
        </w:rPr>
        <w:br w:type="page"/>
      </w:r>
    </w:p>
    <w:bookmarkEnd w:id="5"/>
    <w:p>
      <w:pPr>
        <w:pStyle w:val="13"/>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Start w:id="6" w:name="_Toc532545052"/>
      <w:r>
        <w:rPr>
          <w:rFonts w:ascii="Times New Roman" w:hAnsi="Times New Roman"/>
          <w:b/>
          <w:sz w:val="36"/>
        </w:rPr>
        <w:t xml:space="preserve"> </w:t>
      </w:r>
      <w:r>
        <w:rPr>
          <w:rFonts w:hint="eastAsia" w:ascii="Times New Roman" w:hAnsi="Times New Roman"/>
          <w:b/>
          <w:sz w:val="36"/>
        </w:rPr>
        <w:t>投标文件格式</w:t>
      </w:r>
      <w:bookmarkEnd w:id="6"/>
    </w:p>
    <w:p>
      <w:pPr>
        <w:snapToGrid w:val="0"/>
        <w:spacing w:line="360" w:lineRule="auto"/>
        <w:jc w:val="left"/>
        <w:rPr>
          <w:rFonts w:ascii="宋体" w:hAnsi="宋体" w:eastAsia="宋体"/>
          <w:b/>
          <w:szCs w:val="21"/>
        </w:rPr>
      </w:pPr>
      <w:bookmarkStart w:id="7" w:name="_Toc254970677"/>
      <w:bookmarkStart w:id="8" w:name="_Toc254970536"/>
      <w:r>
        <w:rPr>
          <w:rFonts w:hint="eastAsia" w:ascii="宋体" w:hAnsi="宋体" w:eastAsia="宋体"/>
          <w:b/>
          <w:szCs w:val="21"/>
        </w:rPr>
        <w:t>一、投标文件的组成</w:t>
      </w:r>
      <w:bookmarkEnd w:id="7"/>
      <w:bookmarkEnd w:id="8"/>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3"/>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3"/>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3"/>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7"/>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8"/>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8"/>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szCs w:val="21"/>
        </w:rPr>
        <w:t>(1)</w:t>
      </w:r>
      <w:r>
        <w:rPr>
          <w:rFonts w:hint="eastAsia" w:ascii="宋体" w:hAnsi="宋体" w:eastAsia="宋体" w:cs="Times New Roman"/>
          <w:kern w:val="2"/>
          <w:sz w:val="21"/>
          <w:szCs w:val="21"/>
          <w:lang w:val="en-US" w:eastAsia="zh-CN" w:bidi="ar-SA"/>
        </w:rPr>
        <w:t>技术需求偏离表</w:t>
      </w:r>
      <w:r>
        <w:rPr>
          <w:rFonts w:hint="eastAsia" w:ascii="宋体" w:hAnsi="宋体" w:cs="Times New Roman"/>
          <w:kern w:val="2"/>
          <w:sz w:val="21"/>
          <w:szCs w:val="21"/>
          <w:lang w:val="en-US" w:eastAsia="zh-CN" w:bidi="ar-SA"/>
        </w:rPr>
        <w:t>（必须提供）</w:t>
      </w:r>
    </w:p>
    <w:p>
      <w:pPr>
        <w:pStyle w:val="8"/>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szCs w:val="21"/>
        </w:rPr>
        <w:t>(2)</w:t>
      </w:r>
      <w:r>
        <w:rPr>
          <w:rFonts w:hint="eastAsia" w:ascii="宋体" w:hAnsi="宋体" w:eastAsia="宋体" w:cs="Times New Roman"/>
          <w:kern w:val="2"/>
          <w:sz w:val="21"/>
          <w:szCs w:val="21"/>
          <w:lang w:val="en-US" w:eastAsia="zh-CN" w:bidi="ar-SA"/>
        </w:rPr>
        <w:t>项目实施方案（</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pStyle w:val="9"/>
        <w:ind w:firstLine="210" w:firstLineChars="1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(3)售后服务（按需提供，格式自拟）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szCs w:val="21"/>
          <w:lang w:val="en-US" w:eastAsia="zh-CN"/>
        </w:rPr>
        <w:t>(</w:t>
      </w:r>
      <w:r>
        <w:rPr>
          <w:rFonts w:hint="eastAsia" w:ascii="宋体" w:hAnsi="宋体" w:eastAsia="宋体"/>
          <w:szCs w:val="21"/>
          <w:lang w:val="en-US" w:eastAsia="zh-CN"/>
        </w:rPr>
        <w:t>5</w:t>
      </w:r>
      <w:r>
        <w:rPr>
          <w:rFonts w:hint="eastAsia" w:ascii="宋体" w:hAnsi="宋体"/>
          <w:szCs w:val="21"/>
          <w:lang w:val="en-US" w:eastAsia="zh-CN"/>
        </w:rPr>
        <w:t>)</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w:t>
      </w:r>
      <w:r>
        <w:rPr>
          <w:rFonts w:hint="eastAsia" w:ascii="宋体" w:hAnsi="宋体" w:cs="Times New Roman"/>
          <w:kern w:val="2"/>
          <w:sz w:val="21"/>
          <w:szCs w:val="21"/>
          <w:lang w:val="en-US" w:eastAsia="zh-CN" w:bidi="ar-SA"/>
        </w:rPr>
        <w:t>按需提供，</w:t>
      </w:r>
      <w:r>
        <w:rPr>
          <w:rFonts w:hint="eastAsia" w:ascii="宋体" w:hAnsi="宋体" w:eastAsia="宋体" w:cs="Times New Roman"/>
          <w:kern w:val="2"/>
          <w:sz w:val="21"/>
          <w:szCs w:val="21"/>
          <w:lang w:val="en-US" w:eastAsia="zh-CN" w:bidi="ar-SA"/>
        </w:rPr>
        <w:t>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3"/>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3"/>
        <w:snapToGrid w:val="0"/>
        <w:jc w:val="center"/>
        <w:rPr>
          <w:rFonts w:hAnsi="宋体"/>
          <w:b/>
          <w:sz w:val="32"/>
          <w:szCs w:val="32"/>
        </w:rPr>
      </w:pPr>
    </w:p>
    <w:p>
      <w:pPr>
        <w:pStyle w:val="13"/>
        <w:snapToGrid w:val="0"/>
        <w:jc w:val="center"/>
        <w:rPr>
          <w:rFonts w:hAnsi="宋体"/>
          <w:b/>
          <w:sz w:val="32"/>
          <w:szCs w:val="32"/>
        </w:rPr>
      </w:pPr>
      <w:r>
        <w:rPr>
          <w:rFonts w:hint="eastAsia" w:hAnsi="宋体"/>
          <w:b/>
          <w:sz w:val="32"/>
          <w:szCs w:val="32"/>
        </w:rPr>
        <w:t>投标报价明细表</w:t>
      </w:r>
    </w:p>
    <w:tbl>
      <w:tblPr>
        <w:tblStyle w:val="19"/>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3"/>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12"/>
        <w:tabs>
          <w:tab w:val="left" w:pos="939"/>
        </w:tabs>
        <w:snapToGrid w:val="0"/>
        <w:spacing w:line="460" w:lineRule="exact"/>
        <w:ind w:left="401" w:leftChars="0" w:hanging="401" w:hangingChars="191"/>
        <w:rPr>
          <w:rFonts w:ascii="宋体" w:hAnsi="宋体"/>
          <w:sz w:val="21"/>
          <w:szCs w:val="21"/>
        </w:rPr>
      </w:pPr>
    </w:p>
    <w:p>
      <w:pPr>
        <w:pStyle w:val="12"/>
        <w:tabs>
          <w:tab w:val="left" w:pos="939"/>
        </w:tabs>
        <w:snapToGrid w:val="0"/>
        <w:spacing w:line="420" w:lineRule="exact"/>
        <w:ind w:left="401" w:leftChars="0" w:hanging="401" w:hangingChars="191"/>
        <w:rPr>
          <w:rFonts w:ascii="宋体" w:hAnsi="宋体"/>
          <w:sz w:val="21"/>
          <w:szCs w:val="21"/>
        </w:rPr>
      </w:pPr>
    </w:p>
    <w:p>
      <w:pPr>
        <w:pStyle w:val="12"/>
        <w:tabs>
          <w:tab w:val="left" w:pos="939"/>
        </w:tabs>
        <w:snapToGrid w:val="0"/>
        <w:spacing w:line="420" w:lineRule="exact"/>
        <w:ind w:left="401" w:leftChars="0" w:hanging="401" w:hangingChars="191"/>
        <w:rPr>
          <w:rFonts w:ascii="宋体" w:hAnsi="宋体"/>
          <w:sz w:val="21"/>
          <w:szCs w:val="21"/>
        </w:rPr>
      </w:pPr>
    </w:p>
    <w:p>
      <w:pPr>
        <w:pStyle w:val="12"/>
        <w:tabs>
          <w:tab w:val="left" w:pos="939"/>
        </w:tabs>
        <w:snapToGrid w:val="0"/>
        <w:spacing w:line="420" w:lineRule="exact"/>
        <w:ind w:left="401" w:leftChars="0" w:hanging="401" w:hangingChars="191"/>
        <w:rPr>
          <w:rFonts w:ascii="宋体" w:hAnsi="宋体"/>
          <w:sz w:val="21"/>
          <w:szCs w:val="21"/>
        </w:rPr>
      </w:pPr>
    </w:p>
    <w:p>
      <w:pPr>
        <w:pStyle w:val="26"/>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4"/>
      </w:pPr>
    </w:p>
    <w:p>
      <w:pPr>
        <w:pStyle w:val="14"/>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3"/>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pStyle w:val="14"/>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9"/>
      </w:pPr>
    </w:p>
    <w:p>
      <w:pPr>
        <w:pStyle w:val="9"/>
      </w:pPr>
    </w:p>
    <w:p>
      <w:pPr>
        <w:pStyle w:val="9"/>
      </w:pPr>
    </w:p>
    <w:p>
      <w:pPr>
        <w:pStyle w:val="9"/>
      </w:pPr>
    </w:p>
    <w:p>
      <w:pPr>
        <w:pStyle w:val="9"/>
      </w:pPr>
    </w:p>
    <w:p>
      <w:pPr>
        <w:pStyle w:val="9"/>
      </w:pPr>
    </w:p>
    <w:p>
      <w:pPr>
        <w:pStyle w:val="9"/>
      </w:pPr>
    </w:p>
    <w:p>
      <w:pPr>
        <w:pStyle w:val="9"/>
      </w:pPr>
    </w:p>
    <w:p>
      <w:pPr>
        <w:pStyle w:val="13"/>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3"/>
        <w:spacing w:beforeLines="0" w:afterLines="0" w:line="440" w:lineRule="exact"/>
        <w:ind w:firstLine="420" w:firstLineChars="200"/>
        <w:rPr>
          <w:rFonts w:hint="default"/>
          <w:color w:val="auto"/>
          <w:sz w:val="21"/>
          <w:szCs w:val="20"/>
          <w:highlight w:val="none"/>
        </w:rPr>
      </w:pPr>
    </w:p>
    <w:p>
      <w:pPr>
        <w:pStyle w:val="13"/>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9"/>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商务需求</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lang w:val="en-US" w:eastAsia="zh-CN"/>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3"/>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3"/>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3"/>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3"/>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宋体" w:hAnsi="宋体" w:eastAsia="宋体"/>
          <w:szCs w:val="21"/>
        </w:rPr>
      </w:pPr>
      <w:r>
        <w:rPr>
          <w:rFonts w:ascii="宋体" w:hAnsi="宋体" w:eastAsia="宋体"/>
          <w:szCs w:val="21"/>
        </w:rPr>
        <w:t>法定代表人或其委托代理人（签字或盖章）：</w:t>
      </w:r>
    </w:p>
    <w:p>
      <w:pPr>
        <w:spacing w:line="360" w:lineRule="auto"/>
        <w:ind w:firstLine="5040" w:firstLineChars="2400"/>
        <w:rPr>
          <w:rFonts w:hint="default" w:ascii="宋体" w:hAnsi="宋体" w:eastAsia="宋体"/>
          <w:szCs w:val="21"/>
          <w:lang w:val="zh-CN"/>
        </w:rPr>
      </w:pPr>
      <w:r>
        <w:rPr>
          <w:rFonts w:hint="eastAsia" w:ascii="宋体" w:hAnsi="宋体" w:eastAsia="宋体"/>
          <w:szCs w:val="21"/>
          <w:lang w:val="zh-CN"/>
        </w:rPr>
        <w:t>日期</w:t>
      </w:r>
      <w:r>
        <w:rPr>
          <w:rFonts w:hint="eastAsia" w:ascii="宋体" w:hAnsi="宋体" w:eastAsia="宋体"/>
          <w:szCs w:val="21"/>
        </w:rPr>
        <w:t xml:space="preserve">：  年  </w:t>
      </w:r>
      <w:r>
        <w:rPr>
          <w:rFonts w:hint="eastAsia" w:ascii="宋体" w:hAnsi="宋体" w:eastAsia="宋体"/>
          <w:szCs w:val="21"/>
          <w:lang w:val="zh-CN"/>
        </w:rPr>
        <w:t>月</w:t>
      </w:r>
      <w:r>
        <w:rPr>
          <w:rFonts w:hint="eastAsia" w:ascii="宋体" w:hAnsi="宋体" w:eastAsia="宋体"/>
          <w:szCs w:val="21"/>
        </w:rPr>
        <w:t xml:space="preserve">   </w:t>
      </w:r>
      <w:r>
        <w:rPr>
          <w:rFonts w:hint="eastAsia" w:ascii="宋体" w:hAnsi="宋体" w:eastAsia="宋体"/>
          <w:szCs w:val="21"/>
          <w:lang w:val="zh-CN"/>
        </w:rPr>
        <w:t>日</w:t>
      </w:r>
    </w:p>
    <w:p>
      <w:pPr>
        <w:spacing w:line="360" w:lineRule="auto"/>
        <w:ind w:firstLine="3780" w:firstLineChars="1800"/>
        <w:rPr>
          <w:rFonts w:hint="eastAsia" w:ascii="宋体" w:hAnsi="宋体" w:eastAsia="宋体"/>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3"/>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10"/>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10"/>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10"/>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10"/>
        <w:spacing w:line="240" w:lineRule="auto"/>
        <w:ind w:firstLine="404" w:firstLineChars="200"/>
        <w:rPr>
          <w:rFonts w:hint="default" w:ascii="Times New Roman" w:hAnsi="Times New Roman" w:eastAsia="宋体" w:cs="Times New Roman"/>
          <w:color w:val="auto"/>
          <w:sz w:val="21"/>
          <w:szCs w:val="21"/>
          <w:highlight w:val="none"/>
        </w:rPr>
      </w:pPr>
    </w:p>
    <w:p>
      <w:pPr>
        <w:pStyle w:val="8"/>
        <w:spacing w:line="500" w:lineRule="exact"/>
        <w:ind w:right="142"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8"/>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8"/>
        <w:spacing w:before="34" w:line="500" w:lineRule="exact"/>
        <w:ind w:right="142"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8"/>
        <w:spacing w:before="34" w:line="500" w:lineRule="exact"/>
        <w:ind w:right="142"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3"/>
        <w:spacing w:line="360" w:lineRule="auto"/>
        <w:ind w:firstLine="420" w:firstLineChars="200"/>
        <w:rPr>
          <w:rFonts w:hint="default" w:ascii="Times New Roman" w:hAnsi="Times New Roman" w:eastAsia="宋体" w:cs="Times New Roman"/>
          <w:color w:val="auto"/>
          <w:szCs w:val="21"/>
          <w:highlight w:val="none"/>
        </w:rPr>
      </w:pPr>
    </w:p>
    <w:p>
      <w:pPr>
        <w:pStyle w:val="13"/>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3"/>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3"/>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2"/>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9"/>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pStyle w:val="9"/>
      </w:pPr>
    </w:p>
    <w:p>
      <w:pPr>
        <w:pStyle w:val="13"/>
        <w:spacing w:line="440" w:lineRule="exact"/>
        <w:jc w:val="center"/>
        <w:rPr>
          <w:rFonts w:ascii="Times New Roman" w:hAnsi="Times New Roman"/>
          <w:b/>
          <w:sz w:val="36"/>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2</w:t>
    </w:r>
    <w:r>
      <w:fldChar w:fldCharType="end"/>
    </w:r>
  </w:p>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pPr>
      <w:pStyle w:val="14"/>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0"/>
        <w:tab w:val="clear" w:pos="4153"/>
      </w:tabs>
      <w:jc w:val="both"/>
    </w:pPr>
    <w:r>
      <w:rPr>
        <w:rFonts w:hint="eastAsia"/>
      </w:rPr>
      <w:t xml:space="preserve">     </w:t>
    </w:r>
  </w:p>
  <w:p>
    <w:pPr>
      <w:pStyle w:val="15"/>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33B68"/>
    <w:multiLevelType w:val="multilevel"/>
    <w:tmpl w:val="0D133B68"/>
    <w:lvl w:ilvl="0" w:tentative="0">
      <w:start w:val="1"/>
      <w:numFmt w:val="decimal"/>
      <w:isLgl/>
      <w:lvlText w:val="%1"/>
      <w:lvlJc w:val="left"/>
      <w:pPr>
        <w:ind w:left="0" w:firstLine="0"/>
      </w:pPr>
      <w:rPr>
        <w:rFonts w:hint="default"/>
        <w:sz w:val="44"/>
        <w:szCs w:val="44"/>
      </w:rPr>
    </w:lvl>
    <w:lvl w:ilvl="1" w:tentative="0">
      <w:start w:val="1"/>
      <w:numFmt w:val="decimal"/>
      <w:isLgl/>
      <w:lvlText w:val="%1.%2"/>
      <w:lvlJc w:val="left"/>
      <w:pPr>
        <w:ind w:left="0" w:firstLine="0"/>
      </w:pPr>
      <w:rPr>
        <w:rFonts w:hint="eastAsia" w:ascii="宋体" w:hAnsi="宋体" w:eastAsia="宋体"/>
        <w:b/>
        <w:bCs/>
      </w:rPr>
    </w:lvl>
    <w:lvl w:ilvl="2" w:tentative="0">
      <w:start w:val="1"/>
      <w:numFmt w:val="decimal"/>
      <w:pStyle w:val="4"/>
      <w:isLgl/>
      <w:lvlText w:val="%1.%2.%3"/>
      <w:lvlJc w:val="left"/>
      <w:pPr>
        <w:ind w:left="0" w:firstLine="0"/>
      </w:pPr>
      <w:rPr>
        <w:rFonts w:hint="eastAsia"/>
      </w:rPr>
    </w:lvl>
    <w:lvl w:ilvl="3" w:tentative="0">
      <w:start w:val="1"/>
      <w:numFmt w:val="decimal"/>
      <w:isLgl/>
      <w:lvlText w:val="%1.%2.%3.%4"/>
      <w:lvlJc w:val="left"/>
      <w:pPr>
        <w:ind w:left="0" w:firstLine="0"/>
      </w:pPr>
      <w:rPr>
        <w:rFonts w:hint="eastAsia" w:ascii="宋体" w:hAnsi="宋体" w:eastAsia="宋体"/>
      </w:rPr>
    </w:lvl>
    <w:lvl w:ilvl="4" w:tentative="0">
      <w:start w:val="1"/>
      <w:numFmt w:val="decimal"/>
      <w:pStyle w:val="6"/>
      <w:isLgl/>
      <w:lvlText w:val="%1.%2.%3.%4.%5"/>
      <w:lvlJc w:val="left"/>
      <w:pPr>
        <w:ind w:left="0" w:firstLine="0"/>
      </w:pPr>
      <w:rPr>
        <w:rFonts w:hint="eastAsia" w:ascii="宋体" w:hAnsi="宋体" w:eastAsia="宋体"/>
      </w:rPr>
    </w:lvl>
    <w:lvl w:ilvl="5" w:tentative="0">
      <w:start w:val="1"/>
      <w:numFmt w:val="decimal"/>
      <w:isLgl/>
      <w:lvlText w:val="%1.%2.%3.%4.%5.%6"/>
      <w:lvlJc w:val="left"/>
      <w:pPr>
        <w:ind w:left="0" w:firstLine="0"/>
      </w:pPr>
      <w:rPr>
        <w:rFonts w:hint="eastAsia" w:ascii="宋体" w:hAnsi="宋体" w:eastAsia="宋体"/>
      </w:rPr>
    </w:lvl>
    <w:lvl w:ilvl="6" w:tentative="0">
      <w:start w:val="1"/>
      <w:numFmt w:val="decimal"/>
      <w:isLgl/>
      <w:lvlText w:val="%1.%2.%3.%4.%5.%6.%7"/>
      <w:lvlJc w:val="left"/>
      <w:pPr>
        <w:ind w:left="0" w:firstLine="0"/>
      </w:pPr>
      <w:rPr>
        <w:rFonts w:hint="eastAsia" w:ascii="宋体" w:hAnsi="宋体" w:eastAsia="宋体"/>
      </w:rPr>
    </w:lvl>
    <w:lvl w:ilvl="7" w:tentative="0">
      <w:start w:val="1"/>
      <w:numFmt w:val="decimal"/>
      <w:isLgl/>
      <w:lvlText w:val="%1.%2.%3.%4.%5.%6.%7.%8"/>
      <w:lvlJc w:val="left"/>
      <w:pPr>
        <w:ind w:left="0" w:firstLine="0"/>
      </w:pPr>
      <w:rPr>
        <w:rFonts w:hint="eastAsia" w:ascii="宋体" w:hAnsi="宋体" w:eastAsia="宋体"/>
        <w:b/>
        <w:bCs/>
      </w:rPr>
    </w:lvl>
    <w:lvl w:ilvl="8" w:tentative="0">
      <w:start w:val="1"/>
      <w:numFmt w:val="decimal"/>
      <w:isLgl/>
      <w:lvlText w:val="%1.%2.%3.%4.%5.%6.%7.%8.%9"/>
      <w:lvlJc w:val="left"/>
      <w:pPr>
        <w:ind w:left="0" w:firstLine="0"/>
      </w:pPr>
      <w:rPr>
        <w:rFonts w:hint="eastAsia" w:ascii="宋体" w:hAnsi="宋体" w:eastAsia="宋体"/>
        <w:b/>
        <w:bCs/>
        <w:sz w:val="24"/>
        <w:szCs w:val="24"/>
      </w:rPr>
    </w:lvl>
  </w:abstractNum>
  <w:abstractNum w:abstractNumId="1">
    <w:nsid w:val="24E409BB"/>
    <w:multiLevelType w:val="multilevel"/>
    <w:tmpl w:val="24E409BB"/>
    <w:lvl w:ilvl="0" w:tentative="0">
      <w:start w:val="1"/>
      <w:numFmt w:val="decimal"/>
      <w:pStyle w:val="27"/>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ZjYyZmY5ZDVkMDhhZGMxNDk4NTMxMjkxYmM1M2MifQ=="/>
  </w:docVars>
  <w:rsids>
    <w:rsidRoot w:val="331F3C29"/>
    <w:rsid w:val="00014AAA"/>
    <w:rsid w:val="00143881"/>
    <w:rsid w:val="001B1151"/>
    <w:rsid w:val="00211914"/>
    <w:rsid w:val="00471BF2"/>
    <w:rsid w:val="0049218B"/>
    <w:rsid w:val="004F0764"/>
    <w:rsid w:val="005A268A"/>
    <w:rsid w:val="0063568C"/>
    <w:rsid w:val="00723744"/>
    <w:rsid w:val="008571D2"/>
    <w:rsid w:val="00914EAA"/>
    <w:rsid w:val="00AE5F64"/>
    <w:rsid w:val="00C032B8"/>
    <w:rsid w:val="00CE2081"/>
    <w:rsid w:val="00CE35B3"/>
    <w:rsid w:val="00E05465"/>
    <w:rsid w:val="00F14F92"/>
    <w:rsid w:val="0106085D"/>
    <w:rsid w:val="011D6347"/>
    <w:rsid w:val="02CF6714"/>
    <w:rsid w:val="031A6BE9"/>
    <w:rsid w:val="06F517AC"/>
    <w:rsid w:val="08CA3B26"/>
    <w:rsid w:val="09C4497E"/>
    <w:rsid w:val="0AA2487E"/>
    <w:rsid w:val="0B5A071F"/>
    <w:rsid w:val="0CF148DD"/>
    <w:rsid w:val="0CF33B79"/>
    <w:rsid w:val="0D712BA0"/>
    <w:rsid w:val="0E635812"/>
    <w:rsid w:val="0F31193D"/>
    <w:rsid w:val="110B51B4"/>
    <w:rsid w:val="11151D8C"/>
    <w:rsid w:val="120842A7"/>
    <w:rsid w:val="123756D5"/>
    <w:rsid w:val="128871DD"/>
    <w:rsid w:val="1338418B"/>
    <w:rsid w:val="159B7CCB"/>
    <w:rsid w:val="161E50BF"/>
    <w:rsid w:val="168C360A"/>
    <w:rsid w:val="18550A10"/>
    <w:rsid w:val="198F3CAE"/>
    <w:rsid w:val="1AD5111C"/>
    <w:rsid w:val="1B483D3D"/>
    <w:rsid w:val="1EB16BD1"/>
    <w:rsid w:val="1EB52C70"/>
    <w:rsid w:val="1EDF972D"/>
    <w:rsid w:val="2009569F"/>
    <w:rsid w:val="21753E74"/>
    <w:rsid w:val="21FC5C6E"/>
    <w:rsid w:val="220D0EBF"/>
    <w:rsid w:val="229D661A"/>
    <w:rsid w:val="22E471F3"/>
    <w:rsid w:val="23CD03C9"/>
    <w:rsid w:val="23EA421C"/>
    <w:rsid w:val="257F4191"/>
    <w:rsid w:val="25A26D22"/>
    <w:rsid w:val="284B78BB"/>
    <w:rsid w:val="29A25450"/>
    <w:rsid w:val="29B439E3"/>
    <w:rsid w:val="29DF32A4"/>
    <w:rsid w:val="2A9D4B7C"/>
    <w:rsid w:val="2AA834D7"/>
    <w:rsid w:val="2B324502"/>
    <w:rsid w:val="2BF070C4"/>
    <w:rsid w:val="2D9D4A5D"/>
    <w:rsid w:val="2E615CBC"/>
    <w:rsid w:val="2F302F04"/>
    <w:rsid w:val="2F5F29E0"/>
    <w:rsid w:val="30B209CA"/>
    <w:rsid w:val="30F73B6B"/>
    <w:rsid w:val="314B20D2"/>
    <w:rsid w:val="331F3C29"/>
    <w:rsid w:val="34035261"/>
    <w:rsid w:val="351E35A7"/>
    <w:rsid w:val="352E0A6B"/>
    <w:rsid w:val="35CB4A3F"/>
    <w:rsid w:val="360E3B43"/>
    <w:rsid w:val="37031CEF"/>
    <w:rsid w:val="371868DA"/>
    <w:rsid w:val="37CD1CCD"/>
    <w:rsid w:val="38290E43"/>
    <w:rsid w:val="38F85466"/>
    <w:rsid w:val="3AFA245C"/>
    <w:rsid w:val="3BB91A28"/>
    <w:rsid w:val="3C964D28"/>
    <w:rsid w:val="3E690401"/>
    <w:rsid w:val="3E882707"/>
    <w:rsid w:val="3E9C0C55"/>
    <w:rsid w:val="3F3315EE"/>
    <w:rsid w:val="400E1B16"/>
    <w:rsid w:val="4263727A"/>
    <w:rsid w:val="427575FF"/>
    <w:rsid w:val="43E11412"/>
    <w:rsid w:val="44420801"/>
    <w:rsid w:val="447A2EA4"/>
    <w:rsid w:val="44EF1309"/>
    <w:rsid w:val="48AF6E03"/>
    <w:rsid w:val="4AF90557"/>
    <w:rsid w:val="4B547222"/>
    <w:rsid w:val="4DA150ED"/>
    <w:rsid w:val="4E2E4947"/>
    <w:rsid w:val="50FC5F10"/>
    <w:rsid w:val="51436C88"/>
    <w:rsid w:val="525A726C"/>
    <w:rsid w:val="52BE77B3"/>
    <w:rsid w:val="53E464CA"/>
    <w:rsid w:val="54337592"/>
    <w:rsid w:val="549165D8"/>
    <w:rsid w:val="56141A4E"/>
    <w:rsid w:val="579268F3"/>
    <w:rsid w:val="57B921DC"/>
    <w:rsid w:val="58AF5F3A"/>
    <w:rsid w:val="58F0236C"/>
    <w:rsid w:val="597823D6"/>
    <w:rsid w:val="59A9497D"/>
    <w:rsid w:val="5C2511DF"/>
    <w:rsid w:val="5CA16EAC"/>
    <w:rsid w:val="5D2D376B"/>
    <w:rsid w:val="5ECE5416"/>
    <w:rsid w:val="5F0661FB"/>
    <w:rsid w:val="60A44B40"/>
    <w:rsid w:val="636C1DBE"/>
    <w:rsid w:val="638810C5"/>
    <w:rsid w:val="654330B1"/>
    <w:rsid w:val="65494B42"/>
    <w:rsid w:val="65AB56FD"/>
    <w:rsid w:val="66E36AFC"/>
    <w:rsid w:val="67261705"/>
    <w:rsid w:val="685F2D49"/>
    <w:rsid w:val="686A0690"/>
    <w:rsid w:val="688F7BB7"/>
    <w:rsid w:val="6939563C"/>
    <w:rsid w:val="6A185F7F"/>
    <w:rsid w:val="6B5660C4"/>
    <w:rsid w:val="6C3D66C0"/>
    <w:rsid w:val="6C681EB9"/>
    <w:rsid w:val="6C7C6772"/>
    <w:rsid w:val="6D701A66"/>
    <w:rsid w:val="6DA07E00"/>
    <w:rsid w:val="6DC84D63"/>
    <w:rsid w:val="70366CF7"/>
    <w:rsid w:val="72BC356A"/>
    <w:rsid w:val="73551479"/>
    <w:rsid w:val="74683181"/>
    <w:rsid w:val="753C2344"/>
    <w:rsid w:val="762E09F1"/>
    <w:rsid w:val="76766AA0"/>
    <w:rsid w:val="770C0058"/>
    <w:rsid w:val="77193171"/>
    <w:rsid w:val="773E5CFB"/>
    <w:rsid w:val="79D21A23"/>
    <w:rsid w:val="7A36630D"/>
    <w:rsid w:val="7A851937"/>
    <w:rsid w:val="7BDF766B"/>
    <w:rsid w:val="7C7C574A"/>
    <w:rsid w:val="7C7F6C15"/>
    <w:rsid w:val="7DFFD970"/>
    <w:rsid w:val="7E756825"/>
    <w:rsid w:val="7F4E6BB8"/>
    <w:rsid w:val="7F557847"/>
    <w:rsid w:val="99FFED17"/>
    <w:rsid w:val="AF3F0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360" w:lineRule="auto"/>
      <w:outlineLvl w:val="2"/>
    </w:pPr>
    <w:rPr>
      <w:rFonts w:ascii="宋体" w:hAnsi="宋体"/>
      <w:b/>
      <w:bCs/>
      <w:sz w:val="28"/>
      <w:szCs w:val="32"/>
    </w:rPr>
  </w:style>
  <w:style w:type="paragraph" w:styleId="5">
    <w:name w:val="heading 4"/>
    <w:basedOn w:val="1"/>
    <w:next w:val="1"/>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paragraph" w:styleId="6">
    <w:name w:val="heading 5"/>
    <w:basedOn w:val="1"/>
    <w:next w:val="1"/>
    <w:unhideWhenUsed/>
    <w:qFormat/>
    <w:uiPriority w:val="9"/>
    <w:pPr>
      <w:keepNext/>
      <w:keepLines/>
      <w:numPr>
        <w:ilvl w:val="4"/>
        <w:numId w:val="1"/>
      </w:numPr>
      <w:spacing w:before="280" w:after="290" w:line="360" w:lineRule="auto"/>
      <w:outlineLvl w:val="4"/>
    </w:pPr>
    <w:rPr>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spacing w:line="360" w:lineRule="auto"/>
      <w:ind w:firstLine="420"/>
      <w:jc w:val="left"/>
    </w:pPr>
    <w:rPr>
      <w:rFonts w:ascii="宋体"/>
      <w:kern w:val="0"/>
      <w:szCs w:val="20"/>
    </w:r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Body Text Indent"/>
    <w:basedOn w:val="1"/>
    <w:next w:val="11"/>
    <w:qFormat/>
    <w:uiPriority w:val="0"/>
    <w:pPr>
      <w:spacing w:line="200" w:lineRule="exact"/>
      <w:ind w:firstLine="301"/>
    </w:pPr>
    <w:rPr>
      <w:rFonts w:ascii="宋体" w:hAnsi="Courier New"/>
      <w:spacing w:val="-4"/>
      <w:sz w:val="18"/>
      <w:szCs w:val="20"/>
    </w:rPr>
  </w:style>
  <w:style w:type="paragraph" w:styleId="11">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12">
    <w:name w:val="List 2"/>
    <w:basedOn w:val="1"/>
    <w:qFormat/>
    <w:uiPriority w:val="0"/>
    <w:pPr>
      <w:ind w:left="100" w:leftChars="200" w:hanging="200" w:hangingChars="200"/>
    </w:pPr>
    <w:rPr>
      <w:sz w:val="28"/>
    </w:rPr>
  </w:style>
  <w:style w:type="paragraph" w:styleId="13">
    <w:name w:val="Plain Text"/>
    <w:basedOn w:val="1"/>
    <w:next w:val="5"/>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2"/>
    <w:basedOn w:val="1"/>
    <w:next w:val="1"/>
    <w:qFormat/>
    <w:uiPriority w:val="39"/>
    <w:pPr>
      <w:tabs>
        <w:tab w:val="right" w:leader="dot" w:pos="9628"/>
      </w:tabs>
      <w:ind w:left="420" w:firstLine="120"/>
      <w:jc w:val="left"/>
    </w:pPr>
    <w:rPr>
      <w:smallCaps/>
      <w:sz w:val="20"/>
      <w:szCs w:val="20"/>
    </w:rPr>
  </w:style>
  <w:style w:type="paragraph" w:styleId="18">
    <w:name w:val="Body Text First Indent"/>
    <w:basedOn w:val="8"/>
    <w:qFormat/>
    <w:uiPriority w:val="0"/>
    <w:pPr>
      <w:ind w:firstLine="420" w:firstLineChars="100"/>
    </w:pPr>
    <w:rPr>
      <w:rFonts w:ascii="Calibri" w:hAnsi="Calibri"/>
      <w:kern w:val="2"/>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正文段"/>
    <w:basedOn w:val="1"/>
    <w:qFormat/>
    <w:uiPriority w:val="0"/>
    <w:pPr>
      <w:widowControl/>
      <w:snapToGrid w:val="0"/>
      <w:spacing w:afterLines="50"/>
      <w:ind w:firstLine="200" w:firstLineChars="200"/>
    </w:pPr>
    <w:rPr>
      <w:kern w:val="0"/>
      <w:sz w:val="24"/>
      <w:szCs w:val="20"/>
    </w:rPr>
  </w:style>
  <w:style w:type="paragraph" w:customStyle="1" w:styleId="25">
    <w:name w:val="p16"/>
    <w:basedOn w:val="1"/>
    <w:qFormat/>
    <w:uiPriority w:val="0"/>
    <w:pPr>
      <w:widowControl/>
    </w:pPr>
    <w:rPr>
      <w:rFonts w:ascii="宋体" w:hAnsi="宋体" w:cs="宋体"/>
      <w:kern w:val="0"/>
      <w:szCs w:val="21"/>
    </w:rPr>
  </w:style>
  <w:style w:type="paragraph" w:customStyle="1" w:styleId="26">
    <w:name w:val="默认段落字体 Para Char Char Char Char Char Char Char Char Char1 Char Char Char Char"/>
    <w:basedOn w:val="1"/>
    <w:qFormat/>
    <w:uiPriority w:val="0"/>
    <w:rPr>
      <w:rFonts w:ascii="Tahoma" w:hAnsi="Tahoma"/>
      <w:sz w:val="24"/>
      <w:szCs w:val="20"/>
    </w:rPr>
  </w:style>
  <w:style w:type="paragraph" w:customStyle="1" w:styleId="27">
    <w:name w:val="表名称"/>
    <w:basedOn w:val="7"/>
    <w:qFormat/>
    <w:uiPriority w:val="0"/>
    <w:pPr>
      <w:numPr>
        <w:ilvl w:val="0"/>
        <w:numId w:val="2"/>
      </w:numPr>
      <w:tabs>
        <w:tab w:val="left" w:pos="360"/>
      </w:tabs>
      <w:spacing w:before="120" w:after="120"/>
      <w:ind w:left="0" w:firstLine="0"/>
      <w:jc w:val="center"/>
    </w:pPr>
    <w:rPr>
      <w:rFonts w:ascii="Calibri" w:hAnsi="Calibri"/>
    </w:rPr>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1151</Words>
  <Characters>6565</Characters>
  <Lines>54</Lines>
  <Paragraphs>15</Paragraphs>
  <TotalTime>3</TotalTime>
  <ScaleCrop>false</ScaleCrop>
  <LinksUpToDate>false</LinksUpToDate>
  <CharactersWithSpaces>7701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2022-08-30T04:46:00Z</dcterms:created>
  <dc:creator>到此一游</dc:creator>
  <cp:lastModifiedBy>PC</cp:lastModifiedBy>
  <dcterms:modified xsi:type="dcterms:W3CDTF">2024-04-01T01:15:58Z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814DF4DA7C344169AC1BE37EC69ABE8D</vt:lpwstr>
  </property>
</Properties>
</file>