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内控系统运维服务</w:t>
      </w:r>
      <w:r>
        <w:rPr>
          <w:rFonts w:hint="eastAsia" w:ascii="方正小标宋简体" w:hAnsi="方正小标宋简体" w:eastAsia="方正小标宋简体" w:cs="方正小标宋简体"/>
          <w:sz w:val="44"/>
          <w:szCs w:val="44"/>
        </w:rPr>
        <w:t>询价</w:t>
      </w:r>
      <w:r>
        <w:rPr>
          <w:rFonts w:hint="eastAsia" w:ascii="方正小标宋简体" w:hAnsi="方正小标宋简体" w:eastAsia="方正小标宋简体" w:cs="方正小标宋简体"/>
          <w:sz w:val="44"/>
          <w:szCs w:val="44"/>
          <w:lang w:val="en-US" w:eastAsia="zh-CN"/>
        </w:rPr>
        <w:t>通知</w:t>
      </w:r>
    </w:p>
    <w:p>
      <w:pPr>
        <w:jc w:val="center"/>
        <w:rPr>
          <w:rFonts w:hint="eastAsia"/>
        </w:rPr>
      </w:pP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南宁市融媒体中心对内控</w:t>
      </w:r>
      <w:bookmarkStart w:id="6" w:name="_GoBack"/>
      <w:bookmarkEnd w:id="6"/>
      <w:r>
        <w:rPr>
          <w:rFonts w:hint="eastAsia" w:ascii="仿宋_GB2312" w:hAnsi="仿宋_GB2312" w:eastAsia="仿宋_GB2312" w:cs="仿宋_GB2312"/>
          <w:sz w:val="32"/>
          <w:szCs w:val="32"/>
          <w:lang w:val="en-US" w:eastAsia="zh-CN"/>
        </w:rPr>
        <w:t>系统运维服务</w:t>
      </w:r>
      <w:r>
        <w:rPr>
          <w:rFonts w:hint="eastAsia" w:ascii="仿宋_GB2312" w:hAnsi="仿宋_GB2312" w:eastAsia="仿宋_GB2312" w:cs="仿宋_GB2312"/>
          <w:sz w:val="32"/>
          <w:szCs w:val="32"/>
        </w:rPr>
        <w:t>项目进行询价，现面向市场发出询价邀请。有关本次项目询价的基本信息如下：</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val="en-US" w:eastAsia="zh-CN"/>
        </w:rPr>
        <w:t>内控系统运维服务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2、询价单位：</w:t>
      </w:r>
      <w:r>
        <w:rPr>
          <w:rFonts w:hint="eastAsia" w:ascii="仿宋_GB2312" w:hAnsi="仿宋_GB2312" w:eastAsia="仿宋_GB2312" w:cs="仿宋_GB2312"/>
          <w:sz w:val="32"/>
          <w:szCs w:val="32"/>
          <w:lang w:val="en-US" w:eastAsia="zh-CN"/>
        </w:rPr>
        <w:t>南宁市融媒体中心</w:t>
      </w:r>
    </w:p>
    <w:p>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项目需求概况：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4209"/>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合同包</w:t>
            </w:r>
          </w:p>
        </w:tc>
        <w:tc>
          <w:tcPr>
            <w:tcW w:w="4209"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2581"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209"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内控系统运维服务</w:t>
            </w:r>
          </w:p>
        </w:tc>
        <w:tc>
          <w:tcPr>
            <w:tcW w:w="2581"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详见附件一</w:t>
            </w:r>
          </w:p>
        </w:tc>
      </w:tr>
    </w:tbl>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4、询价时间：</w:t>
      </w:r>
      <w:r>
        <w:rPr>
          <w:rFonts w:hint="eastAsia" w:ascii="仿宋_GB2312" w:hAnsi="仿宋_GB2312" w:eastAsia="仿宋_GB2312" w:cs="仿宋_GB2312"/>
          <w:sz w:val="32"/>
          <w:szCs w:val="32"/>
          <w:highlight w:val="none"/>
          <w:lang w:val="en-US" w:eastAsia="zh-CN"/>
        </w:rPr>
        <w:t>2025年9月24日至2025年9月26日17：30止（北京时间）。</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5、报价文件包括：</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 报价人营业执照副本复印件；</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 报价单。</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备注：将报价文件扫描件（加盖公章）发送至电子邮箱。</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6、报价截止时间：2025年9月26日17：30（北京时间）</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7、联系方式：</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询价单位：南宁市融媒体中心</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地址：广西壮族自治区南宁市青秀区葛村路25号</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电话：15977719829</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"mailto:nnsrmtzxjcsj@163.com"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nnsrmtzxjcsj@163.com</w:t>
      </w:r>
      <w:r>
        <w:rPr>
          <w:rFonts w:hint="eastAsia" w:ascii="仿宋_GB2312" w:hAnsi="仿宋_GB2312" w:eastAsia="仿宋_GB2312" w:cs="仿宋_GB2312"/>
          <w:sz w:val="32"/>
          <w:szCs w:val="32"/>
          <w:lang w:val="en-US" w:eastAsia="zh-CN"/>
        </w:rPr>
        <w:fldChar w:fldCharType="end"/>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840" w:rightChars="4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南宁市融媒体中心</w:t>
      </w:r>
    </w:p>
    <w:p>
      <w:pPr>
        <w:keepNext w:val="0"/>
        <w:keepLines w:val="0"/>
        <w:pageBreakBefore w:val="0"/>
        <w:widowControl w:val="0"/>
        <w:numPr>
          <w:ilvl w:val="0"/>
          <w:numId w:val="0"/>
        </w:numPr>
        <w:kinsoku/>
        <w:wordWrap/>
        <w:overflowPunct/>
        <w:topLinePunct w:val="0"/>
        <w:autoSpaceDE/>
        <w:autoSpaceDN/>
        <w:bidi w:val="0"/>
        <w:adjustRightInd/>
        <w:snapToGrid/>
        <w:ind w:right="840" w:rightChars="4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2025年11月25日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附件一：</w:t>
      </w:r>
    </w:p>
    <w:tbl>
      <w:tblPr>
        <w:tblStyle w:val="4"/>
        <w:tblW w:w="9637" w:type="dxa"/>
        <w:jc w:val="center"/>
        <w:tblLayout w:type="fixed"/>
        <w:tblCellMar>
          <w:top w:w="15" w:type="dxa"/>
          <w:left w:w="15" w:type="dxa"/>
          <w:bottom w:w="15" w:type="dxa"/>
          <w:right w:w="15" w:type="dxa"/>
        </w:tblCellMar>
      </w:tblPr>
      <w:tblGrid>
        <w:gridCol w:w="1375"/>
        <w:gridCol w:w="4961"/>
        <w:gridCol w:w="3301"/>
      </w:tblGrid>
      <w:tr>
        <w:tblPrEx>
          <w:tblCellMar>
            <w:top w:w="15" w:type="dxa"/>
            <w:left w:w="15" w:type="dxa"/>
            <w:bottom w:w="15" w:type="dxa"/>
            <w:right w:w="15" w:type="dxa"/>
          </w:tblCellMar>
        </w:tblPrEx>
        <w:trPr>
          <w:trHeight w:val="585"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服务内容</w:t>
            </w:r>
          </w:p>
        </w:tc>
        <w:tc>
          <w:tcPr>
            <w:tcW w:w="4961"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服务范围</w:t>
            </w:r>
          </w:p>
        </w:tc>
        <w:tc>
          <w:tcPr>
            <w:tcW w:w="33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备注</w:t>
            </w:r>
          </w:p>
        </w:tc>
      </w:tr>
      <w:tr>
        <w:tblPrEx>
          <w:tblCellMar>
            <w:top w:w="15" w:type="dxa"/>
            <w:left w:w="15" w:type="dxa"/>
            <w:bottom w:w="15" w:type="dxa"/>
            <w:right w:w="15" w:type="dxa"/>
          </w:tblCellMar>
        </w:tblPrEx>
        <w:trPr>
          <w:trHeight w:val="435" w:hRule="atLeast"/>
          <w:jc w:val="center"/>
        </w:trPr>
        <w:tc>
          <w:tcPr>
            <w:tcW w:w="9637"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系统使用类</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系统使用咨询</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line="312" w:lineRule="auto"/>
              <w:rPr>
                <w:rFonts w:hint="eastAsia" w:ascii="宋体" w:hAnsi="宋体" w:eastAsia="宋体"/>
                <w:sz w:val="19"/>
                <w:szCs w:val="19"/>
              </w:rPr>
            </w:pPr>
            <w:r>
              <w:rPr>
                <w:rFonts w:ascii="宋体" w:hAnsi="宋体" w:eastAsia="宋体"/>
                <w:sz w:val="19"/>
                <w:szCs w:val="19"/>
              </w:rPr>
              <w:t>由乙方客户服务人员向甲方提供系统使用咨询的服务。</w:t>
            </w:r>
            <w:r>
              <w:rPr>
                <w:rFonts w:hint="eastAsia" w:ascii="宋体" w:hAnsi="宋体" w:eastAsia="宋体"/>
                <w:sz w:val="19"/>
                <w:szCs w:val="19"/>
              </w:rPr>
              <w:t>包括1、产品咨询服务；2、服务咨询；3、操作疑问解答服务；4、故障报修处理；5、通过电话指导用户使用软件。</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line="312" w:lineRule="auto"/>
              <w:rPr>
                <w:rFonts w:hint="eastAsia" w:ascii="宋体" w:hAnsi="宋体" w:eastAsia="宋体"/>
                <w:sz w:val="19"/>
                <w:szCs w:val="19"/>
              </w:rPr>
            </w:pPr>
            <w:r>
              <w:rPr>
                <w:rFonts w:hint="eastAsia" w:ascii="宋体" w:hAnsi="宋体" w:eastAsia="宋体"/>
                <w:sz w:val="19"/>
                <w:szCs w:val="19"/>
              </w:rPr>
              <w:t>提供</w:t>
            </w:r>
            <w:r>
              <w:rPr>
                <w:rFonts w:ascii="宋体" w:hAnsi="宋体" w:eastAsia="宋体"/>
                <w:sz w:val="19"/>
                <w:szCs w:val="19"/>
              </w:rPr>
              <w:t>7*24</w:t>
            </w:r>
            <w:r>
              <w:rPr>
                <w:rFonts w:hint="eastAsia" w:ascii="宋体" w:hAnsi="宋体" w:eastAsia="宋体"/>
                <w:sz w:val="19"/>
                <w:szCs w:val="19"/>
                <w:lang w:eastAsia="zh-Hans"/>
              </w:rPr>
              <w:t>小时咨询服务，包括</w:t>
            </w:r>
            <w:r>
              <w:rPr>
                <w:rFonts w:hint="eastAsia" w:ascii="宋体" w:hAnsi="宋体" w:eastAsia="宋体"/>
                <w:sz w:val="19"/>
                <w:szCs w:val="19"/>
              </w:rPr>
              <w:t>PC</w:t>
            </w:r>
            <w:r>
              <w:rPr>
                <w:rFonts w:hint="eastAsia" w:ascii="宋体" w:hAnsi="宋体" w:eastAsia="宋体"/>
                <w:sz w:val="19"/>
                <w:szCs w:val="19"/>
                <w:lang w:eastAsia="zh-Hans"/>
              </w:rPr>
              <w:t>端和移动端使用咨询类服务，</w:t>
            </w:r>
            <w:r>
              <w:rPr>
                <w:rFonts w:hint="eastAsia" w:ascii="宋体" w:hAnsi="宋体" w:eastAsia="宋体"/>
                <w:sz w:val="19"/>
                <w:szCs w:val="19"/>
              </w:rPr>
              <w:t>PC</w:t>
            </w:r>
            <w:r>
              <w:rPr>
                <w:rFonts w:hint="eastAsia" w:ascii="宋体" w:hAnsi="宋体" w:eastAsia="宋体"/>
                <w:sz w:val="19"/>
                <w:szCs w:val="19"/>
                <w:lang w:eastAsia="zh-Hans"/>
              </w:rPr>
              <w:t>端和移动端咨询使用类服务响应时间为即时响应，电话指导解决或电话答疑。</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系统问题受理</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line="312" w:lineRule="auto"/>
              <w:rPr>
                <w:rFonts w:hint="eastAsia" w:ascii="宋体" w:hAnsi="宋体" w:eastAsia="宋体"/>
                <w:sz w:val="19"/>
                <w:szCs w:val="19"/>
              </w:rPr>
            </w:pPr>
            <w:r>
              <w:rPr>
                <w:rFonts w:ascii="宋体" w:hAnsi="宋体" w:eastAsia="宋体"/>
                <w:sz w:val="19"/>
                <w:szCs w:val="19"/>
              </w:rPr>
              <w:t>对于软件产品中的问题，乙方向甲方提供受理和处理服务。</w:t>
            </w:r>
            <w:r>
              <w:rPr>
                <w:rFonts w:hint="eastAsia" w:ascii="宋体" w:hAnsi="宋体" w:eastAsia="宋体"/>
                <w:sz w:val="19"/>
                <w:szCs w:val="19"/>
              </w:rPr>
              <w:t>原则上当天出现的问题当天解决。</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line="312" w:lineRule="auto"/>
              <w:rPr>
                <w:rFonts w:hint="eastAsia" w:ascii="宋体" w:hAnsi="宋体" w:eastAsia="宋体"/>
                <w:sz w:val="19"/>
                <w:szCs w:val="19"/>
              </w:rPr>
            </w:pPr>
            <w:r>
              <w:rPr>
                <w:rFonts w:hint="eastAsia" w:ascii="宋体" w:hAnsi="宋体" w:eastAsia="宋体"/>
                <w:sz w:val="19"/>
                <w:szCs w:val="19"/>
              </w:rPr>
              <w:t>7*24小时问题受理，问题受理在2个小时内响应并受理，PC端和移动端问题原则上当天解决处理，WPS在线预览类问题原则上48小时内解决。</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升级安全包服务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针对乙方推送的乙方系统的（包括手机、即时通讯等）安全加固包，乙方可以为甲方提供远程的安全包升级服务</w:t>
            </w:r>
            <w:r>
              <w:rPr>
                <w:rFonts w:hint="eastAsia" w:ascii="宋体" w:hAnsi="宋体" w:eastAsia="宋体"/>
                <w:sz w:val="19"/>
                <w:szCs w:val="19"/>
              </w:rPr>
              <w:t>，及时为甲方更新系统最新安全补丁包等，确保系统安全及运转正常</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及时更新最新安全补丁包，与甲方约定停机更新时间，一般停机更新时间为2个小时内。</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问题处理进度提醒</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乙方</w:t>
            </w:r>
            <w:r>
              <w:rPr>
                <w:rFonts w:hint="eastAsia" w:ascii="宋体" w:hAnsi="宋体" w:eastAsia="宋体"/>
                <w:sz w:val="19"/>
                <w:szCs w:val="19"/>
              </w:rPr>
              <w:t>将最新处理进展通过微信、QQ或邮件方式及时向甲方反馈，对于紧急问题（即影响业务开展或工作流程审批类问题）乙方即时处理并及时反馈</w:t>
            </w:r>
            <w:r>
              <w:rPr>
                <w:rFonts w:ascii="宋体" w:hAnsi="宋体" w:eastAsia="宋体"/>
                <w:sz w:val="19"/>
                <w:szCs w:val="19"/>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问题反馈及时响应，原则上4小时解决并反馈处理结果。</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客户需求和建议支持</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客户可以向客服人员提供自己的需求和系统的改进建议，由客服人员接纳，提供到技术部进行评估，根据具体情况而定。</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 xml:space="preserve">需求和建议类即时响应，原则上3天内给出解决方案，如需上门沟通需求，与需求人员约定上门沟通时间，原则上1天内上门沟通，紧急需求当天上门沟通。 </w:t>
            </w:r>
          </w:p>
        </w:tc>
      </w:tr>
      <w:tr>
        <w:tblPrEx>
          <w:tblCellMar>
            <w:top w:w="15" w:type="dxa"/>
            <w:left w:w="15" w:type="dxa"/>
            <w:bottom w:w="15" w:type="dxa"/>
            <w:right w:w="15" w:type="dxa"/>
          </w:tblCellMar>
        </w:tblPrEx>
        <w:trPr>
          <w:trHeight w:val="435" w:hRule="atLeast"/>
          <w:jc w:val="center"/>
        </w:trPr>
        <w:tc>
          <w:tcPr>
            <w:tcW w:w="9637"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Fonts w:hint="eastAsia" w:ascii="宋体" w:hAnsi="宋体" w:eastAsia="宋体" w:cs="Microsoft YaHei UI"/>
                <w:b/>
                <w:color w:val="000000"/>
                <w:sz w:val="19"/>
                <w:szCs w:val="19"/>
              </w:rPr>
            </w:pPr>
            <w:r>
              <w:rPr>
                <w:rFonts w:hint="eastAsia" w:ascii="宋体" w:hAnsi="宋体" w:eastAsia="宋体" w:cs="Microsoft YaHei UI"/>
                <w:b/>
                <w:color w:val="000000"/>
                <w:sz w:val="19"/>
                <w:szCs w:val="19"/>
                <w:lang w:bidi="ar"/>
              </w:rPr>
              <w:t>问题受理范围类</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系统日常业务维护服务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主要解决甲方用户软件使用过程中出现的业务调整、数据处理问题和技术问题，保障系统业务的正常开展，包括：1、初始应用服务协助甲方用户完成各种工作模板及流程的建立等；2、当甲方用户因为管理制度或机构发生变化时，协助甲方用户相应调整组织架构及人员信息、各种工作表单及参数设置；3、协助甲方用户处理异常业务数据；4、移动端日常维护，包括移动端审批、移动端数据查看及即时沟通功能维护；5、WPS在线预览软件日常维护，确保系统文件能正常预览。</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紧急类问题即时处理，平急类问题即时响应，2小时内处理，原则当天完成。一般类问题即时响应，完成处理时间可与用户协定，原则48小时内完成。</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工作流程调整与工作表单制作</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540" w:lineRule="exact"/>
              <w:outlineLvl w:val="0"/>
              <w:rPr>
                <w:rFonts w:hint="eastAsia" w:ascii="宋体" w:hAnsi="宋体" w:eastAsia="宋体"/>
                <w:sz w:val="19"/>
                <w:szCs w:val="19"/>
              </w:rPr>
            </w:pPr>
            <w:bookmarkStart w:id="0" w:name="_Toc93942774"/>
            <w:bookmarkStart w:id="1" w:name="_Toc168567563"/>
            <w:bookmarkStart w:id="2" w:name="_Toc198630246"/>
            <w:bookmarkStart w:id="3" w:name="_Toc169520106"/>
            <w:r>
              <w:rPr>
                <w:rFonts w:hint="eastAsia" w:ascii="宋体" w:hAnsi="宋体" w:eastAsia="宋体"/>
                <w:sz w:val="19"/>
                <w:szCs w:val="19"/>
              </w:rPr>
              <w:t>结合专业化需求调研服务，根据甲方应用的特点对软件相关业务模块的流程应用进行相应调整，使系统的工作表单更加贴近甲方的实际业务。工作流程调整和工作表单的内容、工作进度、完成时间由甲方和乙方共同协商确认。</w:t>
            </w:r>
            <w:bookmarkEnd w:id="0"/>
            <w:bookmarkEnd w:id="1"/>
            <w:r>
              <w:rPr>
                <w:rFonts w:hint="eastAsia" w:ascii="宋体" w:hAnsi="宋体" w:eastAsia="宋体"/>
                <w:sz w:val="19"/>
                <w:szCs w:val="19"/>
              </w:rPr>
              <w:t>包括：1、原有工作表单的适应性调整；2、新增工作表单的制作；3、工作表单调整制作过程中，需要涉及的工作流程调整。</w:t>
            </w:r>
            <w:bookmarkEnd w:id="2"/>
            <w:bookmarkEnd w:id="3"/>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1、现系统已搭建的工作流程及表单调整维护，紧急流程问题即时处理，非紧急流程问题和新增流程，乙方与甲方对接人约定完成时间，常规调整如流程更换审批人、流程干预等2个小时内完成；新增流程或流程增加和删除节点等，原则72小时内完成。</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系统培训服务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bookmarkStart w:id="4" w:name="_Toc168567557"/>
            <w:bookmarkStart w:id="5" w:name="_Toc93942768"/>
            <w:r>
              <w:rPr>
                <w:rFonts w:hint="eastAsia" w:ascii="宋体" w:hAnsi="宋体" w:eastAsia="宋体"/>
                <w:sz w:val="19"/>
                <w:szCs w:val="19"/>
              </w:rPr>
              <w:t>为甲方提供专业现场培训服务，可根据甲方的要求安排应用工程师上门对操作人员进行系统化的培训，使操作人员能正确有效地使用软件。</w:t>
            </w:r>
            <w:bookmarkEnd w:id="4"/>
            <w:bookmarkEnd w:id="5"/>
            <w:r>
              <w:rPr>
                <w:rFonts w:hint="eastAsia" w:ascii="宋体" w:hAnsi="宋体" w:eastAsia="宋体"/>
                <w:sz w:val="19"/>
                <w:szCs w:val="19"/>
              </w:rPr>
              <w:t>包括：1、软件各项模块的使用与操作；2、对人员操作、服务问题进行解答；3、对系统管理人员提供系统管理方面的培训与指导。</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用户提出培训需求后，原则上3天内为用户安排培训计划，根据用户需求制定培训计划，按照用户组织的培训时间准时上门参与培训。</w:t>
            </w:r>
          </w:p>
        </w:tc>
      </w:tr>
      <w:tr>
        <w:tblPrEx>
          <w:tblCellMar>
            <w:top w:w="15" w:type="dxa"/>
            <w:left w:w="15" w:type="dxa"/>
            <w:bottom w:w="15" w:type="dxa"/>
            <w:right w:w="15" w:type="dxa"/>
          </w:tblCellMar>
        </w:tblPrEx>
        <w:trPr>
          <w:trHeight w:val="9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档案集成维护</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原开发的档案集成功能维护，确保OA系统与数字档案系统正常对接，档案正常推送到档案系统。</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档案集成类问题需要档案系统或政务云方协调处理，原则要求48小时内解决。</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系统巡检服务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为保障系统的正常运行，甲方定期与乙方沟通软件运用情况，并给予相应的指导。包括：1、定期巡检服务器应用及检查系统功能是否正常。2、定期电话或上门回访了解软件的使用情况。</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每个季度第一个月定期巡检服务器，季度定期清理服务器缓存数据及日志文件等。每季度第一个月安排电话或上门回访了解软件使用情况。</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系统重装和恢复支持</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由技术人员通过远程辅助客户进行</w:t>
            </w:r>
            <w:r>
              <w:rPr>
                <w:rFonts w:hint="eastAsia" w:ascii="宋体" w:hAnsi="宋体" w:eastAsia="宋体"/>
                <w:sz w:val="19"/>
                <w:szCs w:val="19"/>
              </w:rPr>
              <w:t>系统重装</w:t>
            </w:r>
            <w:r>
              <w:rPr>
                <w:rFonts w:ascii="宋体" w:hAnsi="宋体" w:eastAsia="宋体"/>
                <w:sz w:val="19"/>
                <w:szCs w:val="19"/>
              </w:rPr>
              <w:t>和恢复支持。</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如甲方服务器迁移或系统崩溃需求恢复系统，乙方根据甲方提供的备份文件恢复和重启系统，此处的恢复仅为根据备份文件恢复系统，不包含因系统中病毒或服务器故障造成数据缺失需要恢复系统数据。重新和恢复时间甲乙双方沟通重装和恢复方案后确定重新和恢复方式及时间，原则恢复时间为5个工作日内完成。</w:t>
            </w:r>
          </w:p>
        </w:tc>
      </w:tr>
      <w:tr>
        <w:tblPrEx>
          <w:tblCellMar>
            <w:top w:w="15" w:type="dxa"/>
            <w:left w:w="15" w:type="dxa"/>
            <w:bottom w:w="15" w:type="dxa"/>
            <w:right w:w="15" w:type="dxa"/>
          </w:tblCellMar>
        </w:tblPrEx>
        <w:trPr>
          <w:trHeight w:val="450" w:hRule="atLeast"/>
          <w:jc w:val="center"/>
        </w:trPr>
        <w:tc>
          <w:tcPr>
            <w:tcW w:w="9637"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服务方式</w:t>
            </w:r>
          </w:p>
        </w:tc>
      </w:tr>
      <w:tr>
        <w:tblPrEx>
          <w:tblCellMar>
            <w:top w:w="15" w:type="dxa"/>
            <w:left w:w="15" w:type="dxa"/>
            <w:bottom w:w="15" w:type="dxa"/>
            <w:right w:w="15" w:type="dxa"/>
          </w:tblCellMar>
        </w:tblPrEx>
        <w:trPr>
          <w:trHeight w:val="45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联络方式</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Microsoft YaHei UI"/>
                <w:b/>
                <w:color w:val="000000"/>
                <w:sz w:val="19"/>
                <w:szCs w:val="19"/>
              </w:rPr>
            </w:pPr>
            <w:r>
              <w:rPr>
                <w:rFonts w:ascii="宋体" w:hAnsi="宋体" w:eastAsia="宋体" w:cs="Microsoft YaHei UI"/>
                <w:b/>
                <w:color w:val="000000"/>
                <w:sz w:val="19"/>
                <w:szCs w:val="19"/>
                <w:lang w:bidi="ar"/>
              </w:rPr>
              <w:t>内容</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Microsoft YaHei UI"/>
                <w:b/>
                <w:color w:val="000000"/>
                <w:sz w:val="19"/>
                <w:szCs w:val="19"/>
              </w:rPr>
            </w:pP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固定电话</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甲方可以通过拨打乙方的服务电话（一般情况下，一家客户配备了至少一名服务人员）进行各种事宜的处理。</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李焕丰  18697970927</w:t>
            </w: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远程方式</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乙方通过远程的方式为甲方解决问题，远程一般只用来查看问题等。</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p>
        </w:tc>
      </w:tr>
      <w:tr>
        <w:tblPrEx>
          <w:tblCellMar>
            <w:top w:w="15" w:type="dxa"/>
            <w:left w:w="15" w:type="dxa"/>
            <w:bottom w:w="15" w:type="dxa"/>
            <w:right w:w="15" w:type="dxa"/>
          </w:tblCellMar>
        </w:tblPrEx>
        <w:trPr>
          <w:trHeight w:val="57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上门服务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ascii="宋体" w:hAnsi="宋体" w:eastAsia="宋体"/>
                <w:sz w:val="19"/>
                <w:szCs w:val="19"/>
              </w:rPr>
              <w:t>一般情况下乙方提供远程在线服务，但在某些情况下，例如问题无法远程处理等，乙方会提供必要的上门支持服务。</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2" w:beforeLines="100" w:after="156" w:afterLines="50"/>
              <w:rPr>
                <w:rFonts w:hint="eastAsia" w:ascii="宋体" w:hAnsi="宋体" w:eastAsia="宋体"/>
                <w:sz w:val="19"/>
                <w:szCs w:val="19"/>
              </w:rPr>
            </w:pPr>
            <w:r>
              <w:rPr>
                <w:rFonts w:hint="eastAsia" w:ascii="宋体" w:hAnsi="宋体" w:eastAsia="宋体"/>
                <w:sz w:val="19"/>
                <w:szCs w:val="19"/>
              </w:rPr>
              <w:t>上门服务人员：1-2位系统工程师</w:t>
            </w:r>
          </w:p>
          <w:p>
            <w:pPr>
              <w:spacing w:before="312" w:beforeLines="100" w:after="156" w:afterLines="50"/>
              <w:rPr>
                <w:rFonts w:hint="eastAsia" w:ascii="宋体" w:hAnsi="宋体" w:eastAsia="宋体"/>
                <w:sz w:val="19"/>
                <w:szCs w:val="19"/>
              </w:rPr>
            </w:pPr>
            <w:r>
              <w:rPr>
                <w:rFonts w:hint="eastAsia" w:ascii="宋体" w:hAnsi="宋体" w:eastAsia="宋体"/>
                <w:sz w:val="19"/>
                <w:szCs w:val="19"/>
              </w:rPr>
              <w:t>上门服务时间：每个季度安排1名系统工程师驻场1天。</w:t>
            </w:r>
          </w:p>
        </w:tc>
      </w:tr>
      <w:tr>
        <w:tblPrEx>
          <w:tblCellMar>
            <w:top w:w="15" w:type="dxa"/>
            <w:left w:w="15" w:type="dxa"/>
            <w:bottom w:w="15" w:type="dxa"/>
            <w:right w:w="15" w:type="dxa"/>
          </w:tblCellMar>
        </w:tblPrEx>
        <w:trPr>
          <w:trHeight w:val="570" w:hRule="atLeast"/>
          <w:jc w:val="center"/>
        </w:trPr>
        <w:tc>
          <w:tcPr>
            <w:tcW w:w="6336"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9"/>
              <w:widowControl/>
              <w:spacing w:before="156" w:beforeLines="50"/>
              <w:ind w:firstLine="0" w:firstLineChars="0"/>
              <w:jc w:val="right"/>
              <w:rPr>
                <w:rFonts w:hint="eastAsia" w:ascii="宋体" w:hAnsi="宋体" w:eastAsia="宋体" w:cstheme="minorBidi"/>
                <w:b/>
                <w:bCs/>
                <w:kern w:val="2"/>
                <w:sz w:val="19"/>
                <w:szCs w:val="19"/>
                <w:shd w:val="clear" w:color="auto" w:fill="auto"/>
                <w:lang w:val="en-US" w:eastAsia="zh-CN" w:bidi="ar-SA"/>
              </w:rPr>
            </w:pPr>
            <w:r>
              <w:rPr>
                <w:rStyle w:val="7"/>
                <w:rFonts w:hint="eastAsia" w:ascii="宋体" w:hAnsi="宋体" w:eastAsia="宋体"/>
                <w:sz w:val="19"/>
                <w:szCs w:val="19"/>
                <w:shd w:val="clear" w:color="auto" w:fill="auto"/>
                <w:lang w:val="en-US" w:eastAsia="zh-CN"/>
              </w:rPr>
              <w:t>1年服务费</w:t>
            </w:r>
            <w:r>
              <w:rPr>
                <w:rStyle w:val="7"/>
                <w:rFonts w:hint="eastAsia" w:ascii="宋体" w:hAnsi="宋体" w:eastAsia="宋体"/>
                <w:sz w:val="19"/>
                <w:szCs w:val="19"/>
                <w:shd w:val="clear" w:color="auto" w:fill="auto"/>
              </w:rPr>
              <w:t>合计</w:t>
            </w:r>
          </w:p>
        </w:tc>
        <w:tc>
          <w:tcPr>
            <w:tcW w:w="33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9"/>
              <w:widowControl/>
              <w:spacing w:before="156" w:beforeLines="50"/>
              <w:ind w:firstLine="0" w:firstLineChars="0"/>
              <w:jc w:val="center"/>
              <w:rPr>
                <w:rFonts w:hint="eastAsia" w:ascii="宋体" w:hAnsi="宋体" w:eastAsia="宋体" w:cstheme="minorBidi"/>
                <w:b/>
                <w:bCs/>
                <w:kern w:val="2"/>
                <w:sz w:val="19"/>
                <w:szCs w:val="19"/>
                <w:shd w:val="clear" w:color="auto" w:fill="auto"/>
                <w:lang w:val="en-US" w:eastAsia="zh-CN" w:bidi="ar-SA"/>
              </w:rPr>
            </w:pPr>
            <w:r>
              <w:rPr>
                <w:rStyle w:val="7"/>
                <w:rFonts w:hint="eastAsia" w:ascii="宋体" w:hAnsi="宋体" w:eastAsia="宋体"/>
                <w:sz w:val="19"/>
                <w:szCs w:val="19"/>
                <w:shd w:val="clear" w:color="auto" w:fill="auto"/>
              </w:rPr>
              <w:t>¥</w:t>
            </w:r>
            <w:r>
              <w:rPr>
                <w:rStyle w:val="7"/>
                <w:rFonts w:hint="eastAsia" w:ascii="宋体" w:hAnsi="宋体" w:eastAsia="宋体"/>
                <w:sz w:val="19"/>
                <w:szCs w:val="19"/>
                <w:shd w:val="clear" w:color="auto" w:fill="auto"/>
                <w:lang w:val="en-US" w:eastAsia="zh-CN"/>
              </w:rPr>
              <w:t>55</w:t>
            </w:r>
            <w:r>
              <w:rPr>
                <w:rStyle w:val="7"/>
                <w:rFonts w:hint="eastAsia" w:ascii="宋体" w:hAnsi="宋体" w:eastAsia="宋体"/>
                <w:sz w:val="19"/>
                <w:szCs w:val="19"/>
                <w:shd w:val="clear" w:color="auto" w:fill="auto"/>
              </w:rPr>
              <w:t>,000</w:t>
            </w:r>
            <w:r>
              <w:rPr>
                <w:rFonts w:hint="eastAsia" w:ascii="宋体" w:hAnsi="宋体" w:cs="宋体"/>
                <w:b/>
                <w:sz w:val="19"/>
                <w:szCs w:val="19"/>
                <w:shd w:val="clear" w:color="auto" w:fill="auto"/>
              </w:rPr>
              <w:t>（含税）</w:t>
            </w:r>
          </w:p>
        </w:tc>
      </w:tr>
    </w:tbl>
    <w:p>
      <w:pPr>
        <w:numPr>
          <w:ilvl w:val="0"/>
          <w:numId w:val="0"/>
        </w:num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DY2YmViZGYxNGRhMTMwZWU0N2IyMmEwMjdhOGQifQ=="/>
  </w:docVars>
  <w:rsids>
    <w:rsidRoot w:val="2FC87DB8"/>
    <w:rsid w:val="0C6D0A0D"/>
    <w:rsid w:val="149B7B5C"/>
    <w:rsid w:val="1F5168BF"/>
    <w:rsid w:val="20E10BD0"/>
    <w:rsid w:val="2FC87DB8"/>
    <w:rsid w:val="33642A99"/>
    <w:rsid w:val="344E6EBC"/>
    <w:rsid w:val="377A4F00"/>
    <w:rsid w:val="385069D5"/>
    <w:rsid w:val="3A716CE7"/>
    <w:rsid w:val="3BB72E1C"/>
    <w:rsid w:val="4753206B"/>
    <w:rsid w:val="566D7991"/>
    <w:rsid w:val="641F5BDE"/>
    <w:rsid w:val="67E1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684</Words>
  <Characters>737</Characters>
  <Lines>0</Lines>
  <Paragraphs>0</Paragraphs>
  <TotalTime>3</TotalTime>
  <ScaleCrop>false</ScaleCrop>
  <LinksUpToDate>false</LinksUpToDate>
  <CharactersWithSpaces>748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2025-08-01T02:40:00Z</dcterms:created>
  <dc:creator>✨Kivance_</dc:creator>
  <cp:lastModifiedBy>cyj29</cp:lastModifiedBy>
  <dcterms:modified xsi:type="dcterms:W3CDTF">2025-11-25T09:23:14Z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F6EBB89A9D68420D9EFDEFADF6D389EC</vt:lpwstr>
  </property>
  <property fmtid="{D5CDD505-2E9C-101B-9397-08002B2CF9AE}" pid="4" name="KSOTemplateDocerSaveRecord">
    <vt:lpwstr>eyJoZGlkIjoiNjYxMjhiM2MxOTUyYjMxMzEwN2ViZDZjNDMyM2E0NWUiLCJ1c2VySWQiOiIxMDE1NzUwMzI3In0=</vt:lpwstr>
  </property>
</Properties>
</file>